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458C" w14:textId="440C7EDE" w:rsidR="00F618AF" w:rsidRDefault="00F618AF" w:rsidP="00F618AF">
      <w:pPr>
        <w:pStyle w:val="Textbodyindent"/>
        <w:ind w:left="4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</w:t>
      </w:r>
      <w:r w:rsidR="0042513D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273FFA" w14:textId="3B426F72" w:rsidR="00F618AF" w:rsidRDefault="00F618AF" w:rsidP="00F618AF">
      <w:pPr>
        <w:pStyle w:val="Textbodyindent"/>
        <w:ind w:left="4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…</w:t>
      </w:r>
    </w:p>
    <w:p w14:paraId="08EA3256" w14:textId="7A6BF151" w:rsidR="00F618AF" w:rsidRDefault="00F618AF" w:rsidP="00F618AF">
      <w:pPr>
        <w:pStyle w:val="Textbodyindent"/>
        <w:ind w:left="4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zawartego pomiędzy PZU SA a </w:t>
      </w:r>
      <w:r w:rsidR="002F45CC">
        <w:rPr>
          <w:rFonts w:ascii="Arial" w:hAnsi="Arial" w:cs="Arial"/>
          <w:sz w:val="20"/>
          <w:szCs w:val="20"/>
        </w:rPr>
        <w:t>IARP</w:t>
      </w:r>
    </w:p>
    <w:p w14:paraId="5F4BE211" w14:textId="77777777" w:rsidR="002351BF" w:rsidRPr="00F8593F" w:rsidRDefault="002351BF" w:rsidP="00F97C60">
      <w:pPr>
        <w:pStyle w:val="Tekstpodstawowy"/>
        <w:jc w:val="center"/>
        <w:rPr>
          <w:rFonts w:ascii="Arial" w:hAnsi="Arial"/>
          <w:b/>
          <w:szCs w:val="22"/>
        </w:rPr>
      </w:pPr>
    </w:p>
    <w:p w14:paraId="7D2C9D3C" w14:textId="77777777" w:rsidR="002351BF" w:rsidRPr="00F8593F" w:rsidRDefault="002351BF" w:rsidP="00F97C60">
      <w:pPr>
        <w:pStyle w:val="Tekstpodstawowy"/>
        <w:jc w:val="center"/>
        <w:rPr>
          <w:rFonts w:ascii="Arial" w:hAnsi="Arial"/>
          <w:b/>
          <w:szCs w:val="22"/>
        </w:rPr>
      </w:pPr>
    </w:p>
    <w:p w14:paraId="3398F8B0" w14:textId="1A785DFB" w:rsidR="002351BF" w:rsidRDefault="00D95125" w:rsidP="00D266F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PODS</w:t>
      </w:r>
      <w:r w:rsidR="000F1186">
        <w:rPr>
          <w:rFonts w:ascii="Arial" w:hAnsi="Arial"/>
          <w:b/>
          <w:kern w:val="24"/>
        </w:rPr>
        <w:t>TAWOWE</w:t>
      </w:r>
      <w:r w:rsidR="00D266F6">
        <w:rPr>
          <w:rFonts w:ascii="Arial" w:hAnsi="Arial"/>
          <w:b/>
        </w:rPr>
        <w:t xml:space="preserve"> UBEZPIECZENI</w:t>
      </w:r>
      <w:r>
        <w:rPr>
          <w:rFonts w:ascii="Arial" w:hAnsi="Arial"/>
          <w:b/>
        </w:rPr>
        <w:t>E</w:t>
      </w:r>
      <w:r w:rsidR="000F1186">
        <w:rPr>
          <w:rFonts w:ascii="Arial" w:hAnsi="Arial"/>
          <w:b/>
        </w:rPr>
        <w:t xml:space="preserve"> </w:t>
      </w:r>
      <w:r w:rsidR="00793186">
        <w:rPr>
          <w:rFonts w:ascii="Arial" w:hAnsi="Arial"/>
          <w:b/>
        </w:rPr>
        <w:t>–</w:t>
      </w:r>
      <w:r w:rsidR="00D706D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ARCHITEKTÓW</w:t>
      </w:r>
      <w:r w:rsidR="00793186">
        <w:rPr>
          <w:rFonts w:ascii="Arial" w:hAnsi="Arial"/>
          <w:b/>
        </w:rPr>
        <w:t xml:space="preserve"> CZŁONKÓW </w:t>
      </w:r>
      <w:r>
        <w:rPr>
          <w:rFonts w:ascii="Arial" w:hAnsi="Arial"/>
          <w:b/>
        </w:rPr>
        <w:t>IARP</w:t>
      </w:r>
    </w:p>
    <w:p w14:paraId="1C5AB7D4" w14:textId="77777777" w:rsidR="00823CAC" w:rsidRPr="00F8593F" w:rsidRDefault="00823CAC" w:rsidP="00D266F6">
      <w:pPr>
        <w:jc w:val="center"/>
        <w:rPr>
          <w:rFonts w:ascii="Arial" w:hAnsi="Arial"/>
          <w:szCs w:val="22"/>
        </w:rPr>
      </w:pPr>
    </w:p>
    <w:p w14:paraId="0E895560" w14:textId="77777777" w:rsidR="002351BF" w:rsidRPr="00F8593F" w:rsidRDefault="002351BF" w:rsidP="00F97C60">
      <w:pPr>
        <w:jc w:val="center"/>
        <w:rPr>
          <w:rFonts w:ascii="Arial" w:hAnsi="Arial"/>
          <w:b/>
          <w:szCs w:val="22"/>
        </w:rPr>
      </w:pPr>
      <w:r w:rsidRPr="00F8593F">
        <w:rPr>
          <w:rFonts w:ascii="Arial" w:hAnsi="Arial"/>
          <w:b/>
          <w:szCs w:val="22"/>
        </w:rPr>
        <w:t>§ 1</w:t>
      </w:r>
    </w:p>
    <w:p w14:paraId="19603832" w14:textId="50A9FF00" w:rsidR="00ED660F" w:rsidRPr="003316F8" w:rsidRDefault="0064097A" w:rsidP="0064097A">
      <w:pPr>
        <w:widowControl w:val="0"/>
        <w:suppressAutoHyphens/>
        <w:jc w:val="both"/>
        <w:rPr>
          <w:rFonts w:ascii="Arial" w:hAnsi="Arial"/>
          <w:szCs w:val="22"/>
        </w:rPr>
      </w:pPr>
      <w:r>
        <w:rPr>
          <w:rFonts w:ascii="Arial" w:hAnsi="Arial"/>
        </w:rPr>
        <w:t>P</w:t>
      </w:r>
      <w:r w:rsidRPr="0064097A">
        <w:rPr>
          <w:rFonts w:ascii="Arial" w:hAnsi="Arial"/>
        </w:rPr>
        <w:t xml:space="preserve">ZU SA zapewnia ofertę ubezpieczenia </w:t>
      </w:r>
      <w:bookmarkStart w:id="0" w:name="_Hlk156821814"/>
      <w:r w:rsidR="00D266F6" w:rsidRPr="00D266F6">
        <w:rPr>
          <w:rFonts w:ascii="Arial" w:hAnsi="Arial"/>
        </w:rPr>
        <w:t xml:space="preserve">obowiązkowego ubezpieczenia odpowiedzialności cywilnej </w:t>
      </w:r>
      <w:r w:rsidR="00D95125">
        <w:rPr>
          <w:rFonts w:ascii="Arial" w:hAnsi="Arial"/>
        </w:rPr>
        <w:t>architekta</w:t>
      </w:r>
      <w:r w:rsidR="000F1186" w:rsidRPr="000F1186">
        <w:rPr>
          <w:rFonts w:ascii="Arial" w:hAnsi="Arial"/>
        </w:rPr>
        <w:t>,</w:t>
      </w:r>
      <w:bookmarkEnd w:id="0"/>
      <w:r w:rsidR="000F1186" w:rsidRPr="000F1186">
        <w:rPr>
          <w:rFonts w:ascii="Arial" w:hAnsi="Arial"/>
        </w:rPr>
        <w:t xml:space="preserve"> ubezpieczenia odpowiedzialności cywilnej w życiu prywatnym  – </w:t>
      </w:r>
      <w:r w:rsidR="00D95125">
        <w:rPr>
          <w:rFonts w:ascii="Arial" w:hAnsi="Arial"/>
        </w:rPr>
        <w:t>architekta</w:t>
      </w:r>
      <w:r w:rsidR="00BE07E4" w:rsidRPr="00D266F6">
        <w:rPr>
          <w:rFonts w:ascii="Arial" w:hAnsi="Arial"/>
        </w:rPr>
        <w:t>,</w:t>
      </w:r>
      <w:r w:rsidR="00D95125">
        <w:rPr>
          <w:rFonts w:ascii="Arial" w:hAnsi="Arial"/>
        </w:rPr>
        <w:t xml:space="preserve"> </w:t>
      </w:r>
      <w:r w:rsidR="00D95125" w:rsidRPr="000F1186">
        <w:rPr>
          <w:rFonts w:ascii="Arial" w:hAnsi="Arial"/>
        </w:rPr>
        <w:t xml:space="preserve">ubezpieczenia </w:t>
      </w:r>
      <w:r w:rsidR="00D95125">
        <w:rPr>
          <w:rFonts w:ascii="Arial" w:hAnsi="Arial"/>
        </w:rPr>
        <w:t>następstw nieszczęśliwych wypadków</w:t>
      </w:r>
      <w:r w:rsidR="00D95125" w:rsidRPr="000F1186">
        <w:rPr>
          <w:rFonts w:ascii="Arial" w:hAnsi="Arial"/>
        </w:rPr>
        <w:t xml:space="preserve"> – </w:t>
      </w:r>
      <w:r w:rsidR="00D95125">
        <w:rPr>
          <w:rFonts w:ascii="Arial" w:hAnsi="Arial"/>
        </w:rPr>
        <w:t>architekta, ubezpieczenia ochrony pr</w:t>
      </w:r>
      <w:r w:rsidR="0025587E">
        <w:rPr>
          <w:rFonts w:ascii="Arial" w:hAnsi="Arial"/>
        </w:rPr>
        <w:t>awnej architekta</w:t>
      </w:r>
      <w:r w:rsidR="00D266F6" w:rsidRPr="00D266F6">
        <w:rPr>
          <w:rFonts w:ascii="Arial" w:hAnsi="Arial"/>
        </w:rPr>
        <w:t xml:space="preserve"> zwaną dalej „Umową </w:t>
      </w:r>
      <w:bookmarkStart w:id="1" w:name="_Hlk156820674"/>
      <w:r w:rsidR="000F1186">
        <w:rPr>
          <w:rFonts w:ascii="Arial" w:hAnsi="Arial"/>
        </w:rPr>
        <w:t xml:space="preserve">podstawowego ubezpieczenia – </w:t>
      </w:r>
      <w:r w:rsidR="0025587E">
        <w:rPr>
          <w:rFonts w:ascii="Arial" w:hAnsi="Arial"/>
        </w:rPr>
        <w:t>architektów</w:t>
      </w:r>
      <w:r w:rsidR="000F1186">
        <w:rPr>
          <w:rFonts w:ascii="Arial" w:hAnsi="Arial"/>
        </w:rPr>
        <w:t xml:space="preserve"> członków </w:t>
      </w:r>
      <w:bookmarkEnd w:id="1"/>
      <w:r w:rsidR="0025587E">
        <w:rPr>
          <w:rFonts w:ascii="Arial" w:hAnsi="Arial"/>
        </w:rPr>
        <w:t>IARP</w:t>
      </w:r>
      <w:r w:rsidR="00D266F6" w:rsidRPr="00D266F6">
        <w:rPr>
          <w:rFonts w:ascii="Arial" w:hAnsi="Arial"/>
        </w:rPr>
        <w:t>”, na r</w:t>
      </w:r>
      <w:r w:rsidR="00BE07E4">
        <w:rPr>
          <w:rFonts w:ascii="Arial" w:hAnsi="Arial"/>
        </w:rPr>
        <w:t>achunek</w:t>
      </w:r>
      <w:r w:rsidR="00D266F6" w:rsidRPr="00D266F6">
        <w:rPr>
          <w:rFonts w:ascii="Arial" w:hAnsi="Arial"/>
        </w:rPr>
        <w:t xml:space="preserve"> </w:t>
      </w:r>
      <w:r w:rsidR="0025587E">
        <w:rPr>
          <w:rFonts w:ascii="Arial" w:hAnsi="Arial"/>
        </w:rPr>
        <w:t>architektów</w:t>
      </w:r>
      <w:r w:rsidR="005B3958">
        <w:rPr>
          <w:rFonts w:ascii="Arial" w:hAnsi="Arial"/>
        </w:rPr>
        <w:t xml:space="preserve"> </w:t>
      </w:r>
      <w:r w:rsidR="00BA46A4">
        <w:rPr>
          <w:rFonts w:ascii="Arial" w:hAnsi="Arial"/>
        </w:rPr>
        <w:t xml:space="preserve">będących </w:t>
      </w:r>
      <w:r w:rsidR="005B3958">
        <w:rPr>
          <w:rFonts w:ascii="Arial" w:hAnsi="Arial"/>
        </w:rPr>
        <w:t>członk</w:t>
      </w:r>
      <w:r w:rsidR="00BA46A4">
        <w:rPr>
          <w:rFonts w:ascii="Arial" w:hAnsi="Arial"/>
        </w:rPr>
        <w:t>ami</w:t>
      </w:r>
      <w:r w:rsidR="005B3958">
        <w:rPr>
          <w:rFonts w:ascii="Arial" w:hAnsi="Arial"/>
        </w:rPr>
        <w:t xml:space="preserve"> </w:t>
      </w:r>
      <w:r w:rsidR="0025587E">
        <w:rPr>
          <w:rFonts w:ascii="Arial" w:hAnsi="Arial"/>
        </w:rPr>
        <w:t>IARP</w:t>
      </w:r>
      <w:r w:rsidR="00ED660F">
        <w:rPr>
          <w:rFonts w:ascii="Arial" w:hAnsi="Arial"/>
        </w:rPr>
        <w:t>, zwanych dalej „Ubezpieczonymi”</w:t>
      </w:r>
      <w:r w:rsidR="005B3958">
        <w:rPr>
          <w:rFonts w:ascii="Arial" w:hAnsi="Arial"/>
        </w:rPr>
        <w:t xml:space="preserve">. </w:t>
      </w:r>
    </w:p>
    <w:p w14:paraId="40E0B80A" w14:textId="77777777" w:rsidR="00D266F6" w:rsidRPr="00F8593F" w:rsidRDefault="00D266F6" w:rsidP="00D266F6">
      <w:pPr>
        <w:jc w:val="center"/>
        <w:rPr>
          <w:rFonts w:ascii="Arial" w:hAnsi="Arial"/>
          <w:b/>
          <w:szCs w:val="22"/>
        </w:rPr>
      </w:pPr>
      <w:r w:rsidRPr="00F8593F">
        <w:rPr>
          <w:rFonts w:ascii="Arial" w:hAnsi="Arial"/>
          <w:b/>
          <w:szCs w:val="22"/>
        </w:rPr>
        <w:t xml:space="preserve">§ </w:t>
      </w:r>
      <w:r>
        <w:rPr>
          <w:rFonts w:ascii="Arial" w:hAnsi="Arial"/>
          <w:b/>
          <w:szCs w:val="22"/>
        </w:rPr>
        <w:t>2</w:t>
      </w:r>
    </w:p>
    <w:p w14:paraId="2E4EB9C9" w14:textId="008BCC2C" w:rsidR="007F21C8" w:rsidRPr="00B37D34" w:rsidRDefault="004F309F" w:rsidP="00FB7B70">
      <w:pPr>
        <w:tabs>
          <w:tab w:val="num" w:pos="0"/>
        </w:tabs>
        <w:jc w:val="both"/>
        <w:rPr>
          <w:rFonts w:ascii="Arial" w:hAnsi="Arial"/>
        </w:rPr>
      </w:pPr>
      <w:r>
        <w:rPr>
          <w:rFonts w:ascii="Tahoma" w:hAnsi="Tahoma" w:cs="Tahoma"/>
          <w:iCs/>
        </w:rPr>
        <w:t xml:space="preserve">Architekci </w:t>
      </w:r>
      <w:r w:rsidR="0050431B">
        <w:rPr>
          <w:rFonts w:ascii="Tahoma" w:hAnsi="Tahoma" w:cs="Tahoma"/>
          <w:iCs/>
        </w:rPr>
        <w:t>będący</w:t>
      </w:r>
      <w:r w:rsidR="00050F66">
        <w:rPr>
          <w:rFonts w:ascii="Tahoma" w:hAnsi="Tahoma" w:cs="Tahoma"/>
          <w:iCs/>
        </w:rPr>
        <w:t xml:space="preserve"> c</w:t>
      </w:r>
      <w:r w:rsidR="00AB3752" w:rsidRPr="00B05B13">
        <w:rPr>
          <w:rFonts w:ascii="Tahoma" w:hAnsi="Tahoma" w:cs="Tahoma"/>
          <w:iCs/>
        </w:rPr>
        <w:t>złonk</w:t>
      </w:r>
      <w:r w:rsidR="0050431B">
        <w:rPr>
          <w:rFonts w:ascii="Tahoma" w:hAnsi="Tahoma" w:cs="Tahoma"/>
          <w:iCs/>
        </w:rPr>
        <w:t>ami</w:t>
      </w:r>
      <w:r w:rsidR="00AB3752" w:rsidRPr="00B05B13"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iCs/>
        </w:rPr>
        <w:t>IARP</w:t>
      </w:r>
      <w:r w:rsidR="00AB3752" w:rsidRPr="00B05B13">
        <w:rPr>
          <w:rFonts w:ascii="Tahoma" w:hAnsi="Tahoma" w:cs="Tahoma"/>
          <w:iCs/>
        </w:rPr>
        <w:t xml:space="preserve"> </w:t>
      </w:r>
      <w:r w:rsidR="00050F66">
        <w:rPr>
          <w:rFonts w:ascii="Tahoma" w:hAnsi="Tahoma" w:cs="Tahoma"/>
          <w:iCs/>
        </w:rPr>
        <w:t xml:space="preserve">mogą </w:t>
      </w:r>
      <w:r w:rsidR="0064097A">
        <w:rPr>
          <w:rFonts w:ascii="Tahoma" w:hAnsi="Tahoma" w:cs="Tahoma"/>
          <w:iCs/>
        </w:rPr>
        <w:t xml:space="preserve">zawrzeć umowę podstawowego ubezpieczenia </w:t>
      </w:r>
      <w:r w:rsidR="00C4655B">
        <w:rPr>
          <w:rFonts w:ascii="Arial" w:hAnsi="Arial"/>
        </w:rPr>
        <w:t xml:space="preserve">– </w:t>
      </w:r>
      <w:r>
        <w:rPr>
          <w:rFonts w:ascii="Arial" w:hAnsi="Arial"/>
        </w:rPr>
        <w:t>architektów</w:t>
      </w:r>
      <w:r w:rsidR="00C4655B">
        <w:rPr>
          <w:rFonts w:ascii="Arial" w:hAnsi="Arial"/>
        </w:rPr>
        <w:t xml:space="preserve"> członków </w:t>
      </w:r>
      <w:r>
        <w:rPr>
          <w:rFonts w:ascii="Arial" w:hAnsi="Arial"/>
        </w:rPr>
        <w:t>IARP</w:t>
      </w:r>
      <w:r w:rsidR="00AB3752" w:rsidRPr="00B05B13">
        <w:rPr>
          <w:rFonts w:ascii="Arial" w:hAnsi="Arial" w:cs="Arial"/>
          <w:iCs/>
        </w:rPr>
        <w:t xml:space="preserve"> </w:t>
      </w:r>
      <w:r w:rsidR="00FE3A4F">
        <w:rPr>
          <w:rFonts w:ascii="Tahoma" w:hAnsi="Tahoma" w:cs="Tahoma"/>
          <w:iCs/>
        </w:rPr>
        <w:t>poprzez</w:t>
      </w:r>
      <w:r w:rsidR="001F4A05"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iCs/>
        </w:rPr>
        <w:t xml:space="preserve">złożenie </w:t>
      </w:r>
      <w:r w:rsidR="0064097A">
        <w:rPr>
          <w:rFonts w:ascii="Tahoma" w:hAnsi="Tahoma" w:cs="Tahoma"/>
          <w:iCs/>
        </w:rPr>
        <w:t>wniosku o ubezpieczeni</w:t>
      </w:r>
      <w:r w:rsidR="003E2C8D">
        <w:rPr>
          <w:rFonts w:ascii="Tahoma" w:hAnsi="Tahoma" w:cs="Tahoma"/>
          <w:iCs/>
        </w:rPr>
        <w:t>e.</w:t>
      </w:r>
      <w:r w:rsidR="00C4655B">
        <w:rPr>
          <w:rFonts w:ascii="Tahoma" w:hAnsi="Tahoma" w:cs="Tahoma"/>
          <w:iCs/>
        </w:rPr>
        <w:t xml:space="preserve"> </w:t>
      </w:r>
    </w:p>
    <w:p w14:paraId="5C853C84" w14:textId="4B799A29" w:rsidR="007F21C8" w:rsidRDefault="007F21C8" w:rsidP="00FB7B70">
      <w:pPr>
        <w:pStyle w:val="Akapitzlist"/>
        <w:ind w:left="426"/>
        <w:jc w:val="both"/>
        <w:rPr>
          <w:rFonts w:ascii="Arial" w:hAnsi="Arial"/>
        </w:rPr>
      </w:pPr>
    </w:p>
    <w:p w14:paraId="223FF56B" w14:textId="77777777" w:rsidR="007E57C3" w:rsidRDefault="007E57C3" w:rsidP="007E57C3">
      <w:pPr>
        <w:pStyle w:val="Akapitzlist"/>
        <w:ind w:left="0"/>
        <w:jc w:val="center"/>
        <w:rPr>
          <w:rFonts w:ascii="Arial" w:hAnsi="Arial"/>
          <w:b/>
          <w:bCs/>
        </w:rPr>
      </w:pPr>
      <w:r w:rsidRPr="000F6A3E">
        <w:rPr>
          <w:rFonts w:ascii="Arial" w:hAnsi="Arial"/>
          <w:b/>
          <w:bCs/>
        </w:rPr>
        <w:t>UBEZPIECZENIE PODSTAWOWE</w:t>
      </w:r>
      <w:r>
        <w:rPr>
          <w:rFonts w:ascii="Arial" w:hAnsi="Arial"/>
          <w:b/>
          <w:bCs/>
        </w:rPr>
        <w:t xml:space="preserve"> </w:t>
      </w:r>
    </w:p>
    <w:p w14:paraId="3232F350" w14:textId="77777777" w:rsidR="000F6A3E" w:rsidRPr="000F6A3E" w:rsidRDefault="000F6A3E" w:rsidP="000F6A3E">
      <w:pPr>
        <w:pStyle w:val="Akapitzlist"/>
        <w:ind w:left="0"/>
        <w:jc w:val="center"/>
        <w:rPr>
          <w:rFonts w:ascii="Arial" w:hAnsi="Arial"/>
          <w:b/>
          <w:bCs/>
        </w:rPr>
      </w:pPr>
    </w:p>
    <w:p w14:paraId="32CEA688" w14:textId="48FED215" w:rsidR="002351BF" w:rsidRPr="00F8593F" w:rsidRDefault="002351BF" w:rsidP="003D1D4A">
      <w:pPr>
        <w:pStyle w:val="Tekstpodstawowy"/>
        <w:jc w:val="center"/>
        <w:rPr>
          <w:rFonts w:ascii="Arial" w:hAnsi="Arial"/>
          <w:b/>
          <w:szCs w:val="22"/>
        </w:rPr>
      </w:pPr>
      <w:r w:rsidRPr="00F8593F">
        <w:rPr>
          <w:rFonts w:ascii="Arial" w:hAnsi="Arial"/>
          <w:b/>
          <w:szCs w:val="22"/>
        </w:rPr>
        <w:t>Przedmiot i zakres ochrony ubezpieczeniowej</w:t>
      </w:r>
      <w:r w:rsidR="00C4655B">
        <w:rPr>
          <w:rFonts w:ascii="Arial" w:hAnsi="Arial"/>
          <w:b/>
          <w:szCs w:val="22"/>
        </w:rPr>
        <w:t xml:space="preserve"> </w:t>
      </w:r>
      <w:r w:rsidR="00C4655B" w:rsidRPr="00C4655B">
        <w:rPr>
          <w:rFonts w:ascii="Arial" w:hAnsi="Arial"/>
          <w:b/>
          <w:szCs w:val="22"/>
        </w:rPr>
        <w:t xml:space="preserve">grupowego obowiązkowego ubezpieczenia odpowiedzialności cywilnej </w:t>
      </w:r>
      <w:r w:rsidR="004F309F">
        <w:rPr>
          <w:rFonts w:ascii="Arial" w:hAnsi="Arial"/>
          <w:b/>
          <w:szCs w:val="22"/>
        </w:rPr>
        <w:t>architekta</w:t>
      </w:r>
    </w:p>
    <w:p w14:paraId="3CD786C6" w14:textId="7D2DE7D6" w:rsidR="002351BF" w:rsidRDefault="002351BF" w:rsidP="00F97C60">
      <w:pPr>
        <w:pStyle w:val="Tekstpodstawowy"/>
        <w:jc w:val="center"/>
        <w:rPr>
          <w:rFonts w:ascii="Arial" w:hAnsi="Arial"/>
          <w:b/>
          <w:szCs w:val="22"/>
        </w:rPr>
      </w:pPr>
      <w:r w:rsidRPr="00F8593F">
        <w:rPr>
          <w:rFonts w:ascii="Arial" w:hAnsi="Arial"/>
          <w:b/>
          <w:szCs w:val="22"/>
        </w:rPr>
        <w:t xml:space="preserve">§ </w:t>
      </w:r>
      <w:r w:rsidR="00B90C41">
        <w:rPr>
          <w:rFonts w:ascii="Arial" w:hAnsi="Arial"/>
          <w:b/>
          <w:szCs w:val="22"/>
        </w:rPr>
        <w:t>3</w:t>
      </w:r>
    </w:p>
    <w:p w14:paraId="31079D86" w14:textId="32421F8C" w:rsidR="002E1366" w:rsidRPr="00EF47CA" w:rsidRDefault="002E1366" w:rsidP="004A13D9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rPr>
          <w:rFonts w:ascii="Arial" w:hAnsi="Arial"/>
          <w:szCs w:val="22"/>
        </w:rPr>
      </w:pPr>
      <w:r w:rsidRPr="00EF47CA">
        <w:rPr>
          <w:rFonts w:ascii="Arial" w:hAnsi="Arial"/>
          <w:szCs w:val="22"/>
        </w:rPr>
        <w:t xml:space="preserve">Do </w:t>
      </w:r>
      <w:r w:rsidR="0064097A">
        <w:rPr>
          <w:rFonts w:ascii="Arial" w:hAnsi="Arial"/>
          <w:szCs w:val="22"/>
        </w:rPr>
        <w:t>umów</w:t>
      </w:r>
      <w:r w:rsidRPr="00EF47CA">
        <w:rPr>
          <w:rFonts w:ascii="Arial" w:hAnsi="Arial"/>
          <w:szCs w:val="22"/>
        </w:rPr>
        <w:t xml:space="preserve"> obowiązkowego ubezpieczenia </w:t>
      </w:r>
      <w:r w:rsidR="00C4655B" w:rsidRPr="00EF47CA">
        <w:rPr>
          <w:rFonts w:ascii="Arial" w:hAnsi="Arial"/>
          <w:szCs w:val="22"/>
        </w:rPr>
        <w:t xml:space="preserve">odpowiedzialności cywilnej </w:t>
      </w:r>
      <w:r w:rsidR="004F309F">
        <w:rPr>
          <w:rFonts w:ascii="Arial" w:hAnsi="Arial"/>
          <w:szCs w:val="22"/>
        </w:rPr>
        <w:t xml:space="preserve">architekta </w:t>
      </w:r>
      <w:r w:rsidR="00C4655B" w:rsidRPr="00EF47CA">
        <w:rPr>
          <w:rFonts w:ascii="Arial" w:hAnsi="Arial"/>
          <w:szCs w:val="22"/>
        </w:rPr>
        <w:t xml:space="preserve">– członka </w:t>
      </w:r>
      <w:r w:rsidR="004F309F">
        <w:rPr>
          <w:rFonts w:ascii="Arial" w:hAnsi="Arial"/>
          <w:szCs w:val="22"/>
        </w:rPr>
        <w:t>IARP</w:t>
      </w:r>
      <w:r w:rsidRPr="00EF47CA">
        <w:rPr>
          <w:rFonts w:ascii="Arial" w:hAnsi="Arial"/>
          <w:szCs w:val="22"/>
        </w:rPr>
        <w:t xml:space="preserve"> w sprawach nieuregulowanych,  zastosowanie mają:</w:t>
      </w:r>
    </w:p>
    <w:p w14:paraId="0C32ED42" w14:textId="77777777" w:rsidR="002E1366" w:rsidRDefault="002E1366" w:rsidP="002E1366">
      <w:pPr>
        <w:pStyle w:val="Tekstpodstawowy3"/>
        <w:ind w:left="851" w:hanging="425"/>
        <w:jc w:val="both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 xml:space="preserve">1) </w:t>
      </w:r>
      <w:r>
        <w:rPr>
          <w:rFonts w:ascii="Arial" w:hAnsi="Arial"/>
          <w:sz w:val="24"/>
          <w:szCs w:val="22"/>
        </w:rPr>
        <w:tab/>
        <w:t>przepisy ustawy</w:t>
      </w:r>
      <w:r w:rsidRPr="00F8593F">
        <w:rPr>
          <w:rFonts w:ascii="Arial" w:hAnsi="Arial"/>
          <w:sz w:val="24"/>
          <w:szCs w:val="22"/>
        </w:rPr>
        <w:t xml:space="preserve"> z 22</w:t>
      </w:r>
      <w:r>
        <w:rPr>
          <w:rFonts w:ascii="Arial" w:hAnsi="Arial"/>
          <w:sz w:val="24"/>
          <w:szCs w:val="22"/>
        </w:rPr>
        <w:t xml:space="preserve"> maja </w:t>
      </w:r>
      <w:r w:rsidRPr="00F8593F">
        <w:rPr>
          <w:rFonts w:ascii="Arial" w:hAnsi="Arial"/>
          <w:sz w:val="24"/>
          <w:szCs w:val="22"/>
        </w:rPr>
        <w:t>2003</w:t>
      </w:r>
      <w:r>
        <w:rPr>
          <w:rFonts w:ascii="Arial" w:hAnsi="Arial"/>
          <w:sz w:val="24"/>
          <w:szCs w:val="22"/>
        </w:rPr>
        <w:t xml:space="preserve"> </w:t>
      </w:r>
      <w:r w:rsidRPr="00F8593F">
        <w:rPr>
          <w:rFonts w:ascii="Arial" w:hAnsi="Arial"/>
          <w:sz w:val="24"/>
          <w:szCs w:val="22"/>
        </w:rPr>
        <w:t xml:space="preserve">r. o ubezpieczeniach obowiązkowych, </w:t>
      </w:r>
      <w:r>
        <w:rPr>
          <w:rFonts w:ascii="Arial" w:hAnsi="Arial"/>
          <w:sz w:val="24"/>
          <w:szCs w:val="22"/>
        </w:rPr>
        <w:t>u</w:t>
      </w:r>
      <w:r w:rsidRPr="00F8593F">
        <w:rPr>
          <w:rFonts w:ascii="Arial" w:hAnsi="Arial"/>
          <w:sz w:val="24"/>
          <w:szCs w:val="22"/>
        </w:rPr>
        <w:t>bezpieczeniowym Funduszu Gwarancyjnym i </w:t>
      </w:r>
      <w:r>
        <w:rPr>
          <w:rFonts w:ascii="Arial" w:hAnsi="Arial"/>
          <w:sz w:val="24"/>
          <w:szCs w:val="22"/>
        </w:rPr>
        <w:t xml:space="preserve"> </w:t>
      </w:r>
      <w:r w:rsidRPr="00F8593F">
        <w:rPr>
          <w:rFonts w:ascii="Arial" w:hAnsi="Arial"/>
          <w:sz w:val="24"/>
          <w:szCs w:val="22"/>
        </w:rPr>
        <w:t>Polskim Biurze Ubezpieczycieli Komunikacyjnych</w:t>
      </w:r>
      <w:r>
        <w:rPr>
          <w:rFonts w:ascii="Arial" w:hAnsi="Arial"/>
          <w:sz w:val="24"/>
          <w:szCs w:val="22"/>
        </w:rPr>
        <w:t>, zwanej dalej „Ustawą”;</w:t>
      </w:r>
    </w:p>
    <w:p w14:paraId="18C4ACB5" w14:textId="1B0E2C40" w:rsidR="002E1366" w:rsidRDefault="002E1366" w:rsidP="002E1366">
      <w:pPr>
        <w:pStyle w:val="Tekstpodstawowy3"/>
        <w:ind w:left="851" w:hanging="425"/>
        <w:jc w:val="both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 xml:space="preserve">2) </w:t>
      </w:r>
      <w:r>
        <w:rPr>
          <w:rFonts w:ascii="Arial" w:hAnsi="Arial"/>
          <w:sz w:val="24"/>
          <w:szCs w:val="22"/>
        </w:rPr>
        <w:tab/>
        <w:t xml:space="preserve">przepisy </w:t>
      </w:r>
      <w:r w:rsidRPr="00BE77C3">
        <w:rPr>
          <w:rFonts w:ascii="Arial" w:hAnsi="Arial"/>
          <w:sz w:val="24"/>
          <w:szCs w:val="22"/>
        </w:rPr>
        <w:t>rozporządzeni</w:t>
      </w:r>
      <w:r>
        <w:rPr>
          <w:rFonts w:ascii="Arial" w:hAnsi="Arial"/>
          <w:sz w:val="24"/>
          <w:szCs w:val="22"/>
        </w:rPr>
        <w:t>a</w:t>
      </w:r>
      <w:r w:rsidRPr="00026691">
        <w:rPr>
          <w:rFonts w:ascii="Arial" w:hAnsi="Arial"/>
          <w:sz w:val="24"/>
          <w:szCs w:val="22"/>
        </w:rPr>
        <w:t xml:space="preserve"> Ministra Finansów </w:t>
      </w:r>
      <w:r w:rsidR="00C4655B" w:rsidRPr="00C4655B">
        <w:rPr>
          <w:rFonts w:ascii="Arial" w:hAnsi="Arial"/>
          <w:sz w:val="24"/>
          <w:szCs w:val="22"/>
        </w:rPr>
        <w:t>z dnia 11 grudnia 2003r. w sprawie obowiązkowego ubezpieczenia odpowiedzialności cywilnej architektów oraz inżynierów budownictwa (Dz. U. z 2003r., Nr 220, poz. 2174)</w:t>
      </w:r>
      <w:r w:rsidR="00C4655B">
        <w:rPr>
          <w:rFonts w:ascii="Arial" w:hAnsi="Arial"/>
          <w:sz w:val="24"/>
          <w:szCs w:val="22"/>
        </w:rPr>
        <w:t>, zwanego dalej „Rozporządzeniem”;</w:t>
      </w:r>
    </w:p>
    <w:p w14:paraId="5B13C9CE" w14:textId="2EEF3CDC" w:rsidR="00C4655B" w:rsidRDefault="002E1366" w:rsidP="002E1366">
      <w:pPr>
        <w:pStyle w:val="Tekstpodstawowy3"/>
        <w:ind w:left="851" w:hanging="425"/>
        <w:jc w:val="both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 xml:space="preserve">3) </w:t>
      </w:r>
      <w:r w:rsidR="00C4655B">
        <w:rPr>
          <w:rFonts w:ascii="Arial" w:hAnsi="Arial"/>
          <w:sz w:val="24"/>
          <w:szCs w:val="22"/>
        </w:rPr>
        <w:tab/>
        <w:t>przepisy u</w:t>
      </w:r>
      <w:r w:rsidR="00C4655B" w:rsidRPr="00C4655B">
        <w:rPr>
          <w:rFonts w:ascii="Arial" w:hAnsi="Arial"/>
          <w:sz w:val="24"/>
          <w:szCs w:val="22"/>
        </w:rPr>
        <w:t>staw</w:t>
      </w:r>
      <w:r w:rsidR="00C4655B">
        <w:rPr>
          <w:rFonts w:ascii="Arial" w:hAnsi="Arial"/>
          <w:sz w:val="24"/>
          <w:szCs w:val="22"/>
        </w:rPr>
        <w:t>y</w:t>
      </w:r>
      <w:r w:rsidR="00C4655B" w:rsidRPr="00C4655B">
        <w:rPr>
          <w:rFonts w:ascii="Arial" w:hAnsi="Arial"/>
          <w:sz w:val="24"/>
          <w:szCs w:val="22"/>
        </w:rPr>
        <w:t xml:space="preserve"> z dnia 15 grudnia 2000</w:t>
      </w:r>
      <w:r w:rsidR="00C4655B">
        <w:rPr>
          <w:rFonts w:ascii="Arial" w:hAnsi="Arial"/>
          <w:sz w:val="24"/>
          <w:szCs w:val="22"/>
        </w:rPr>
        <w:t xml:space="preserve"> </w:t>
      </w:r>
      <w:r w:rsidR="00C4655B" w:rsidRPr="00C4655B">
        <w:rPr>
          <w:rFonts w:ascii="Arial" w:hAnsi="Arial"/>
          <w:sz w:val="24"/>
          <w:szCs w:val="22"/>
        </w:rPr>
        <w:t>r. o samorządach zawodowych architektów oraz inżynierów budownictwa (Dz. U. z 2019r.  poz.1117)</w:t>
      </w:r>
      <w:r w:rsidR="00C4655B">
        <w:rPr>
          <w:rFonts w:ascii="Arial" w:hAnsi="Arial"/>
          <w:sz w:val="24"/>
          <w:szCs w:val="22"/>
        </w:rPr>
        <w:t>;</w:t>
      </w:r>
    </w:p>
    <w:p w14:paraId="4C226A47" w14:textId="78103395" w:rsidR="002E1366" w:rsidRPr="00F8593F" w:rsidRDefault="00C4655B" w:rsidP="002E1366">
      <w:pPr>
        <w:pStyle w:val="Tekstpodstawowy3"/>
        <w:ind w:left="851" w:hanging="425"/>
        <w:jc w:val="both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 xml:space="preserve">4) </w:t>
      </w:r>
      <w:r>
        <w:rPr>
          <w:rFonts w:ascii="Arial" w:hAnsi="Arial"/>
          <w:sz w:val="24"/>
          <w:szCs w:val="22"/>
        </w:rPr>
        <w:tab/>
      </w:r>
      <w:r w:rsidR="002E1366">
        <w:rPr>
          <w:rFonts w:ascii="Arial" w:hAnsi="Arial"/>
          <w:sz w:val="24"/>
          <w:szCs w:val="22"/>
        </w:rPr>
        <w:t>odpowiednie przepisy kodeksu cywilnego i inne stosowne przepisy prawa polskiego</w:t>
      </w:r>
      <w:r w:rsidR="002E1366" w:rsidRPr="00BE77C3">
        <w:rPr>
          <w:rFonts w:ascii="Arial" w:hAnsi="Arial"/>
          <w:sz w:val="24"/>
          <w:szCs w:val="22"/>
        </w:rPr>
        <w:t>.</w:t>
      </w:r>
      <w:r w:rsidR="002E1366" w:rsidRPr="00F8593F">
        <w:rPr>
          <w:rFonts w:ascii="Arial" w:hAnsi="Arial"/>
          <w:sz w:val="24"/>
          <w:szCs w:val="22"/>
        </w:rPr>
        <w:t xml:space="preserve"> </w:t>
      </w:r>
    </w:p>
    <w:p w14:paraId="738FF16D" w14:textId="567676C2" w:rsidR="004F309F" w:rsidRDefault="004F309F" w:rsidP="004A13D9">
      <w:pPr>
        <w:pStyle w:val="Akapitzlist"/>
        <w:widowControl w:val="0"/>
        <w:numPr>
          <w:ilvl w:val="0"/>
          <w:numId w:val="9"/>
        </w:numPr>
        <w:suppressAutoHyphens/>
        <w:ind w:left="426" w:hanging="426"/>
        <w:jc w:val="both"/>
        <w:rPr>
          <w:rFonts w:ascii="Arial" w:hAnsi="Arial"/>
          <w:szCs w:val="22"/>
        </w:rPr>
      </w:pPr>
      <w:r w:rsidRPr="004F309F">
        <w:rPr>
          <w:rFonts w:ascii="Arial" w:hAnsi="Arial"/>
          <w:szCs w:val="22"/>
        </w:rPr>
        <w:t>Przedmiotem ubezpieczenia jest odpowiedzialność cywilna Ubezpieczonego za szkody wyrządzone Poszkodowanemu w następstwie zdarzeń zaistniałych w okresie ubezpieczenia, w związku z wykonywaniem przez Ubezpieczonego samodzielnych funkcji technicznych w budownictwie w zakresie posiadanych uprawnień budowlanych, zgodnie z  Rozporządzeniem Ministra Finansów z dnia 11 grudnia 2003 roku w sprawie obowiązkowego ubezpieczenia odpowiedzialności cywilnej architektów oraz inżynierów budownictwa (Dz. U. Nr 220, poz. 2174)</w:t>
      </w:r>
      <w:r>
        <w:rPr>
          <w:rFonts w:ascii="Arial" w:hAnsi="Arial"/>
          <w:szCs w:val="22"/>
        </w:rPr>
        <w:t>.</w:t>
      </w:r>
    </w:p>
    <w:p w14:paraId="210C3EF1" w14:textId="18A166DE" w:rsidR="004F309F" w:rsidRPr="004F309F" w:rsidRDefault="004F309F" w:rsidP="004A13D9">
      <w:pPr>
        <w:pStyle w:val="Akapitzlist"/>
        <w:widowControl w:val="0"/>
        <w:numPr>
          <w:ilvl w:val="0"/>
          <w:numId w:val="9"/>
        </w:numPr>
        <w:suppressAutoHyphens/>
        <w:ind w:left="426" w:hanging="426"/>
        <w:jc w:val="both"/>
        <w:rPr>
          <w:rFonts w:ascii="Arial" w:hAnsi="Arial"/>
          <w:szCs w:val="22"/>
        </w:rPr>
      </w:pPr>
      <w:r w:rsidRPr="004F309F">
        <w:rPr>
          <w:rFonts w:ascii="Arial" w:hAnsi="Arial"/>
          <w:szCs w:val="22"/>
        </w:rPr>
        <w:t>PZU SA niniejszym potwierdza, iż ochroną ubezpieczeniową objęte są szkody wyrządzone Poszkodowanym w następstwie zdarzeń zaistniałych w okresie trwania ochrony ubezpieczeniowej, a polegających w szczególności na:</w:t>
      </w:r>
    </w:p>
    <w:p w14:paraId="5748C33F" w14:textId="77777777" w:rsidR="004F309F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4F309F">
        <w:rPr>
          <w:rFonts w:ascii="Arial" w:hAnsi="Arial"/>
          <w:szCs w:val="22"/>
        </w:rPr>
        <w:t xml:space="preserve">analizach przedprojektowych i doradztwie architektoniczno-budowlanym </w:t>
      </w:r>
    </w:p>
    <w:p w14:paraId="7F395D54" w14:textId="77777777" w:rsidR="004F309F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4F309F">
        <w:rPr>
          <w:rFonts w:ascii="Arial" w:hAnsi="Arial"/>
          <w:szCs w:val="22"/>
        </w:rPr>
        <w:t>rzeczoznawstwie,</w:t>
      </w:r>
    </w:p>
    <w:p w14:paraId="47B72F30" w14:textId="77777777" w:rsidR="004F309F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4F309F">
        <w:rPr>
          <w:rFonts w:ascii="Arial" w:hAnsi="Arial"/>
          <w:szCs w:val="22"/>
        </w:rPr>
        <w:t>inwentaryzacji architektoniczno-budowlanej, badaniach architektonicznych budynków zabytkowych wraz z oceną stanu technicznego,</w:t>
      </w:r>
    </w:p>
    <w:p w14:paraId="728A4A01" w14:textId="6C235718" w:rsidR="004F309F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4F309F">
        <w:rPr>
          <w:rFonts w:ascii="Arial" w:hAnsi="Arial"/>
          <w:szCs w:val="22"/>
        </w:rPr>
        <w:lastRenderedPageBreak/>
        <w:t>opracowywani</w:t>
      </w:r>
      <w:r w:rsidR="0081384C">
        <w:rPr>
          <w:rFonts w:ascii="Arial" w:hAnsi="Arial"/>
          <w:szCs w:val="22"/>
        </w:rPr>
        <w:t>u</w:t>
      </w:r>
      <w:r w:rsidRPr="004F309F">
        <w:rPr>
          <w:rFonts w:ascii="Arial" w:hAnsi="Arial"/>
          <w:szCs w:val="22"/>
        </w:rPr>
        <w:t xml:space="preserve"> programów funkcjonalno-użytkowych PFU, opracowywani</w:t>
      </w:r>
      <w:r w:rsidR="0081384C">
        <w:rPr>
          <w:rFonts w:ascii="Arial" w:hAnsi="Arial"/>
          <w:szCs w:val="22"/>
        </w:rPr>
        <w:t>u</w:t>
      </w:r>
      <w:r w:rsidRPr="004F309F">
        <w:rPr>
          <w:rFonts w:ascii="Arial" w:hAnsi="Arial"/>
          <w:szCs w:val="22"/>
        </w:rPr>
        <w:t xml:space="preserve"> technologiczne związane z opracowywanymi projektami </w:t>
      </w:r>
      <w:proofErr w:type="spellStart"/>
      <w:r w:rsidRPr="004F309F">
        <w:rPr>
          <w:rFonts w:ascii="Arial" w:hAnsi="Arial"/>
          <w:szCs w:val="22"/>
        </w:rPr>
        <w:t>architektoniczno</w:t>
      </w:r>
      <w:proofErr w:type="spellEnd"/>
      <w:r w:rsidRPr="004F309F">
        <w:rPr>
          <w:rFonts w:ascii="Arial" w:hAnsi="Arial"/>
          <w:szCs w:val="22"/>
        </w:rPr>
        <w:t xml:space="preserve"> - budowlanymi,</w:t>
      </w:r>
    </w:p>
    <w:p w14:paraId="776ADFFC" w14:textId="77777777" w:rsidR="004F309F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4F309F">
        <w:rPr>
          <w:rFonts w:ascii="Arial" w:hAnsi="Arial"/>
          <w:szCs w:val="22"/>
        </w:rPr>
        <w:t>tworzeniu koncepcji architektonicznych, architektoniczno-budowlanych i urbanistycznych,</w:t>
      </w:r>
    </w:p>
    <w:p w14:paraId="779C84B5" w14:textId="67BFE306" w:rsidR="004F309F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4F309F">
        <w:rPr>
          <w:rFonts w:ascii="Arial" w:hAnsi="Arial"/>
          <w:szCs w:val="22"/>
        </w:rPr>
        <w:t>projektowaniu architektoniczn</w:t>
      </w:r>
      <w:r w:rsidR="002B65B8">
        <w:rPr>
          <w:rFonts w:ascii="Arial" w:hAnsi="Arial"/>
          <w:szCs w:val="22"/>
        </w:rPr>
        <w:t>ym</w:t>
      </w:r>
      <w:r w:rsidRPr="004F309F">
        <w:rPr>
          <w:rFonts w:ascii="Arial" w:hAnsi="Arial"/>
          <w:szCs w:val="22"/>
        </w:rPr>
        <w:t xml:space="preserve"> wszelkich obiektów budowlanych włącznie z projektami wykonawczymi,</w:t>
      </w:r>
    </w:p>
    <w:p w14:paraId="1B26E91D" w14:textId="77777777" w:rsidR="004F309F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4F309F">
        <w:rPr>
          <w:rFonts w:ascii="Arial" w:hAnsi="Arial"/>
          <w:szCs w:val="22"/>
        </w:rPr>
        <w:t>wielobranżowym projektowaniu zagospodarowania działki lub terenu (PZT) w tym projekty zieleni,</w:t>
      </w:r>
    </w:p>
    <w:p w14:paraId="1D3852FB" w14:textId="77777777" w:rsidR="004F309F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4F309F">
        <w:rPr>
          <w:rFonts w:ascii="Arial" w:hAnsi="Arial"/>
          <w:szCs w:val="22"/>
        </w:rPr>
        <w:t>wykonywaniu projektów architektoniczno-budowlanych (PAB),</w:t>
      </w:r>
    </w:p>
    <w:p w14:paraId="56C73E1D" w14:textId="77777777" w:rsidR="004F309F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4F309F">
        <w:rPr>
          <w:rFonts w:ascii="Arial" w:hAnsi="Arial"/>
          <w:szCs w:val="22"/>
        </w:rPr>
        <w:t>wykonywaniu projektów technicznych (PT),</w:t>
      </w:r>
    </w:p>
    <w:p w14:paraId="5B76FF4B" w14:textId="77777777" w:rsidR="00BE39FE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4F309F">
        <w:rPr>
          <w:rFonts w:ascii="Arial" w:hAnsi="Arial"/>
          <w:szCs w:val="22"/>
        </w:rPr>
        <w:t>wykonywaniu projektów wykonawczych (PW),</w:t>
      </w:r>
    </w:p>
    <w:p w14:paraId="00042429" w14:textId="77777777" w:rsidR="00BE39FE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BE39FE">
        <w:rPr>
          <w:rFonts w:ascii="Arial" w:hAnsi="Arial"/>
          <w:szCs w:val="22"/>
        </w:rPr>
        <w:t>koordynacji międzybranżowej pracy projektantów branżowych,</w:t>
      </w:r>
    </w:p>
    <w:p w14:paraId="03C4C332" w14:textId="5E693305" w:rsidR="00BE39FE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BE39FE">
        <w:rPr>
          <w:rFonts w:ascii="Arial" w:hAnsi="Arial"/>
          <w:szCs w:val="22"/>
        </w:rPr>
        <w:t>projektowaniu wnętrz, oraz elementów wyposażenia, doradztw</w:t>
      </w:r>
      <w:r w:rsidR="002B65B8">
        <w:rPr>
          <w:rFonts w:ascii="Arial" w:hAnsi="Arial"/>
          <w:szCs w:val="22"/>
        </w:rPr>
        <w:t>ie</w:t>
      </w:r>
      <w:r w:rsidRPr="00BE39FE">
        <w:rPr>
          <w:rFonts w:ascii="Arial" w:hAnsi="Arial"/>
          <w:szCs w:val="22"/>
        </w:rPr>
        <w:t xml:space="preserve"> w zakresie aranżacji wnętrz,</w:t>
      </w:r>
    </w:p>
    <w:p w14:paraId="3CE5E1BB" w14:textId="57DEA834" w:rsidR="00BE39FE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BE39FE">
        <w:rPr>
          <w:rFonts w:ascii="Arial" w:hAnsi="Arial"/>
          <w:szCs w:val="22"/>
        </w:rPr>
        <w:t>projektowaniu urbanistyczne</w:t>
      </w:r>
      <w:r w:rsidR="00D24232">
        <w:rPr>
          <w:rFonts w:ascii="Arial" w:hAnsi="Arial"/>
          <w:szCs w:val="22"/>
        </w:rPr>
        <w:t>mu</w:t>
      </w:r>
      <w:r w:rsidRPr="00BE39FE">
        <w:rPr>
          <w:rFonts w:ascii="Arial" w:hAnsi="Arial"/>
          <w:szCs w:val="22"/>
        </w:rPr>
        <w:t xml:space="preserve"> oraz planowaniu</w:t>
      </w:r>
      <w:r w:rsidR="00D24232">
        <w:rPr>
          <w:rFonts w:ascii="Arial" w:hAnsi="Arial"/>
          <w:szCs w:val="22"/>
        </w:rPr>
        <w:t xml:space="preserve"> zagospodarowaniu</w:t>
      </w:r>
      <w:r w:rsidR="0042513D">
        <w:rPr>
          <w:rFonts w:ascii="Arial" w:hAnsi="Arial"/>
          <w:szCs w:val="22"/>
        </w:rPr>
        <w:t xml:space="preserve"> </w:t>
      </w:r>
      <w:r w:rsidRPr="00BE39FE">
        <w:rPr>
          <w:rFonts w:ascii="Arial" w:hAnsi="Arial"/>
          <w:szCs w:val="22"/>
        </w:rPr>
        <w:t>przestrzenn</w:t>
      </w:r>
      <w:r w:rsidR="0042513D">
        <w:rPr>
          <w:rFonts w:ascii="Arial" w:hAnsi="Arial"/>
          <w:szCs w:val="22"/>
        </w:rPr>
        <w:t>emu</w:t>
      </w:r>
      <w:r w:rsidRPr="00BE39FE">
        <w:rPr>
          <w:rFonts w:ascii="Arial" w:hAnsi="Arial"/>
          <w:szCs w:val="22"/>
        </w:rPr>
        <w:t>; przygotowaniu decyzji o warunkach zabudowy i zagospodarowania terenu</w:t>
      </w:r>
      <w:r w:rsidR="0042513D">
        <w:rPr>
          <w:rFonts w:ascii="Arial" w:hAnsi="Arial"/>
          <w:szCs w:val="22"/>
        </w:rPr>
        <w:t xml:space="preserve"> oraz </w:t>
      </w:r>
      <w:r w:rsidRPr="00BE39FE">
        <w:rPr>
          <w:rFonts w:ascii="Arial" w:hAnsi="Arial"/>
          <w:szCs w:val="22"/>
        </w:rPr>
        <w:t>analizach urbanistyczno-architektoniczn</w:t>
      </w:r>
      <w:r w:rsidR="00D24232">
        <w:rPr>
          <w:rFonts w:ascii="Arial" w:hAnsi="Arial"/>
          <w:szCs w:val="22"/>
        </w:rPr>
        <w:t>ych</w:t>
      </w:r>
      <w:r w:rsidRPr="00BE39FE">
        <w:rPr>
          <w:rFonts w:ascii="Arial" w:hAnsi="Arial"/>
          <w:szCs w:val="22"/>
        </w:rPr>
        <w:t>,</w:t>
      </w:r>
    </w:p>
    <w:p w14:paraId="1D09D0BA" w14:textId="77777777" w:rsidR="00BE39FE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BE39FE">
        <w:rPr>
          <w:rFonts w:ascii="Arial" w:hAnsi="Arial"/>
          <w:szCs w:val="22"/>
        </w:rPr>
        <w:t>opiniowaniu opracowań planistycznych i urbanistycznych, w tym w ramach Komisji Urbanistyczno-Architektonicznej,</w:t>
      </w:r>
    </w:p>
    <w:p w14:paraId="3CD439B3" w14:textId="77777777" w:rsidR="00BE39FE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BE39FE">
        <w:rPr>
          <w:rFonts w:ascii="Arial" w:hAnsi="Arial"/>
          <w:szCs w:val="22"/>
        </w:rPr>
        <w:t xml:space="preserve">opiniowaniu i kosztorysowaniu w trakcie pełnienia samodzielnych funkcji technicznych w budownictwie, </w:t>
      </w:r>
    </w:p>
    <w:p w14:paraId="0C4D30AC" w14:textId="77777777" w:rsidR="00BE39FE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BE39FE">
        <w:rPr>
          <w:rFonts w:ascii="Arial" w:hAnsi="Arial"/>
          <w:szCs w:val="22"/>
        </w:rPr>
        <w:t>sporządzaniu charakterystyk energetycznych obiektów budowlanych,</w:t>
      </w:r>
    </w:p>
    <w:p w14:paraId="5BFC92BB" w14:textId="77777777" w:rsidR="00BE39FE" w:rsidRDefault="00BE39FE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BE39FE">
        <w:rPr>
          <w:rFonts w:ascii="Arial" w:hAnsi="Arial"/>
          <w:szCs w:val="22"/>
        </w:rPr>
        <w:t>s</w:t>
      </w:r>
      <w:r w:rsidR="004F309F" w:rsidRPr="00BE39FE">
        <w:rPr>
          <w:rFonts w:ascii="Arial" w:hAnsi="Arial"/>
          <w:szCs w:val="22"/>
        </w:rPr>
        <w:t>prawowaniu nadzoru autorskiego,</w:t>
      </w:r>
    </w:p>
    <w:p w14:paraId="1FE290C3" w14:textId="77777777" w:rsidR="00BE39FE" w:rsidRDefault="00BE39FE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BE39FE">
        <w:rPr>
          <w:rFonts w:ascii="Arial" w:hAnsi="Arial"/>
          <w:szCs w:val="22"/>
        </w:rPr>
        <w:t>s</w:t>
      </w:r>
      <w:r w:rsidR="004F309F" w:rsidRPr="00BE39FE">
        <w:rPr>
          <w:rFonts w:ascii="Arial" w:hAnsi="Arial"/>
          <w:szCs w:val="22"/>
        </w:rPr>
        <w:t>prawdzaniu projektów architektonicznych i architektoniczno-budowlanych,</w:t>
      </w:r>
    </w:p>
    <w:p w14:paraId="5F58D564" w14:textId="77777777" w:rsidR="00BE39FE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BE39FE">
        <w:rPr>
          <w:rFonts w:ascii="Arial" w:hAnsi="Arial"/>
          <w:szCs w:val="22"/>
        </w:rPr>
        <w:t>kierowaniu robotami budowlanymi w ramach posiadanych uprawnień,</w:t>
      </w:r>
    </w:p>
    <w:p w14:paraId="2674E7A8" w14:textId="77777777" w:rsidR="00BE39FE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BE39FE">
        <w:rPr>
          <w:rFonts w:ascii="Arial" w:hAnsi="Arial"/>
          <w:szCs w:val="22"/>
        </w:rPr>
        <w:t>sprawowaniu nadzoru inwestorskiego</w:t>
      </w:r>
    </w:p>
    <w:p w14:paraId="1FCFEB6D" w14:textId="77777777" w:rsidR="00BE39FE" w:rsidRDefault="004F309F" w:rsidP="004A13D9">
      <w:pPr>
        <w:pStyle w:val="Akapitzlist"/>
        <w:widowControl w:val="0"/>
        <w:numPr>
          <w:ilvl w:val="0"/>
          <w:numId w:val="10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BE39FE">
        <w:rPr>
          <w:rFonts w:ascii="Arial" w:hAnsi="Arial"/>
          <w:szCs w:val="22"/>
        </w:rPr>
        <w:t>udziale w ramach postępowania administracyjnego wszczętego z inicjatywy inwestora związanego</w:t>
      </w:r>
      <w:r w:rsidR="00BE39FE">
        <w:rPr>
          <w:rFonts w:ascii="Arial" w:hAnsi="Arial"/>
          <w:szCs w:val="22"/>
        </w:rPr>
        <w:t xml:space="preserve"> </w:t>
      </w:r>
      <w:r w:rsidRPr="00BE39FE">
        <w:rPr>
          <w:rFonts w:ascii="Arial" w:hAnsi="Arial"/>
          <w:szCs w:val="22"/>
        </w:rPr>
        <w:t>z przygotowaniem i projektowaniem inwestycji</w:t>
      </w:r>
      <w:r w:rsidR="00BE39FE">
        <w:rPr>
          <w:rFonts w:ascii="Arial" w:hAnsi="Arial"/>
          <w:szCs w:val="22"/>
        </w:rPr>
        <w:t>.</w:t>
      </w:r>
    </w:p>
    <w:p w14:paraId="275CB12C" w14:textId="3A59BDB7" w:rsidR="005A1855" w:rsidRPr="00BE39FE" w:rsidRDefault="00096269" w:rsidP="004A13D9">
      <w:pPr>
        <w:pStyle w:val="Akapitzlist"/>
        <w:widowControl w:val="0"/>
        <w:numPr>
          <w:ilvl w:val="0"/>
          <w:numId w:val="11"/>
        </w:numPr>
        <w:suppressAutoHyphens/>
        <w:ind w:left="426" w:hanging="426"/>
        <w:jc w:val="both"/>
        <w:rPr>
          <w:rFonts w:ascii="Arial" w:hAnsi="Arial"/>
          <w:szCs w:val="22"/>
        </w:rPr>
      </w:pPr>
      <w:r w:rsidRPr="00BE39FE">
        <w:rPr>
          <w:rFonts w:ascii="Arial" w:hAnsi="Arial"/>
          <w:szCs w:val="22"/>
        </w:rPr>
        <w:t>Ochrona ubezpieczeniowa</w:t>
      </w:r>
      <w:r w:rsidR="00E85E42" w:rsidRPr="00BE39FE">
        <w:rPr>
          <w:rFonts w:ascii="Arial" w:hAnsi="Arial"/>
          <w:szCs w:val="22"/>
        </w:rPr>
        <w:t xml:space="preserve">, o której mowa w ust. </w:t>
      </w:r>
      <w:r w:rsidR="00940FC9" w:rsidRPr="00BE39FE">
        <w:rPr>
          <w:rFonts w:ascii="Arial" w:hAnsi="Arial"/>
          <w:szCs w:val="22"/>
        </w:rPr>
        <w:t>2</w:t>
      </w:r>
      <w:r w:rsidR="00E85E42" w:rsidRPr="00BE39FE">
        <w:rPr>
          <w:rFonts w:ascii="Arial" w:hAnsi="Arial"/>
          <w:szCs w:val="22"/>
        </w:rPr>
        <w:t>,</w:t>
      </w:r>
      <w:r w:rsidRPr="00BE39FE">
        <w:rPr>
          <w:rFonts w:ascii="Arial" w:hAnsi="Arial"/>
          <w:szCs w:val="22"/>
        </w:rPr>
        <w:t xml:space="preserve"> obejmuje także</w:t>
      </w:r>
      <w:r w:rsidR="005A1855" w:rsidRPr="00BE39FE">
        <w:rPr>
          <w:rFonts w:ascii="Arial" w:hAnsi="Arial"/>
          <w:szCs w:val="22"/>
        </w:rPr>
        <w:t>:</w:t>
      </w:r>
      <w:r w:rsidRPr="00BE39FE">
        <w:rPr>
          <w:rFonts w:ascii="Arial" w:hAnsi="Arial"/>
          <w:szCs w:val="22"/>
        </w:rPr>
        <w:t xml:space="preserve"> </w:t>
      </w:r>
      <w:r w:rsidR="005A1855" w:rsidRPr="00BE39FE">
        <w:rPr>
          <w:rFonts w:ascii="Arial" w:hAnsi="Arial"/>
          <w:szCs w:val="22"/>
        </w:rPr>
        <w:t xml:space="preserve"> </w:t>
      </w:r>
    </w:p>
    <w:p w14:paraId="45FF1B88" w14:textId="391719B3" w:rsidR="00096269" w:rsidRPr="005A1855" w:rsidRDefault="00096269" w:rsidP="004A13D9">
      <w:pPr>
        <w:pStyle w:val="Akapitzlist"/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5A1855">
        <w:rPr>
          <w:rFonts w:ascii="Arial" w:hAnsi="Arial"/>
          <w:szCs w:val="22"/>
        </w:rPr>
        <w:t>odpowiedzialność Ubezpieczonego za szkody wyrządzone w wyniku rażącego niedbalstwa Ubezpieczonego, a PZU SA rezygnuje z prawa dochodzenia roszczeń regresowych wobec tego Ubezpieczonego z tego tytułu</w:t>
      </w:r>
      <w:r w:rsidR="005A1855">
        <w:rPr>
          <w:rFonts w:ascii="Arial" w:hAnsi="Arial"/>
          <w:szCs w:val="22"/>
        </w:rPr>
        <w:t>;</w:t>
      </w:r>
    </w:p>
    <w:p w14:paraId="6657A918" w14:textId="0D58E731" w:rsidR="00940FC9" w:rsidRPr="005A1855" w:rsidRDefault="00940FC9" w:rsidP="004A13D9">
      <w:pPr>
        <w:pStyle w:val="Akapitzlist"/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="Arial" w:hAnsi="Arial"/>
          <w:szCs w:val="22"/>
        </w:rPr>
      </w:pPr>
      <w:r w:rsidRPr="005A1855">
        <w:rPr>
          <w:rFonts w:ascii="Arial" w:hAnsi="Arial"/>
          <w:szCs w:val="22"/>
        </w:rPr>
        <w:t>działalność gospodarcz</w:t>
      </w:r>
      <w:r w:rsidR="005A1855">
        <w:rPr>
          <w:rFonts w:ascii="Arial" w:hAnsi="Arial"/>
          <w:szCs w:val="22"/>
        </w:rPr>
        <w:t>ą</w:t>
      </w:r>
      <w:r w:rsidRPr="005A1855">
        <w:rPr>
          <w:rFonts w:ascii="Arial" w:hAnsi="Arial"/>
          <w:szCs w:val="22"/>
        </w:rPr>
        <w:t xml:space="preserve"> osoby fizycznej – </w:t>
      </w:r>
      <w:r w:rsidR="005A1855">
        <w:rPr>
          <w:rFonts w:ascii="Arial" w:hAnsi="Arial"/>
          <w:szCs w:val="22"/>
        </w:rPr>
        <w:t>U</w:t>
      </w:r>
      <w:r w:rsidRPr="005A1855">
        <w:rPr>
          <w:rFonts w:ascii="Arial" w:hAnsi="Arial"/>
          <w:szCs w:val="22"/>
        </w:rPr>
        <w:t>bezpieczonego,  w ramach której wykonuje on samodzielne funkcje techniczne w budownictwie w ramach posiadanych uprawień;</w:t>
      </w:r>
    </w:p>
    <w:p w14:paraId="4BFEE857" w14:textId="6F3E878B" w:rsidR="00940FC9" w:rsidRPr="005A1855" w:rsidRDefault="005A1855" w:rsidP="004A13D9">
      <w:pPr>
        <w:pStyle w:val="Akapitzlist"/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działalność </w:t>
      </w:r>
      <w:r w:rsidR="00940FC9" w:rsidRPr="005A1855">
        <w:rPr>
          <w:rFonts w:ascii="Arial" w:hAnsi="Arial"/>
          <w:szCs w:val="22"/>
        </w:rPr>
        <w:t>os</w:t>
      </w:r>
      <w:r>
        <w:rPr>
          <w:rFonts w:ascii="Arial" w:hAnsi="Arial"/>
          <w:szCs w:val="22"/>
        </w:rPr>
        <w:t>ób</w:t>
      </w:r>
      <w:r w:rsidR="00940FC9" w:rsidRPr="005A1855">
        <w:rPr>
          <w:rFonts w:ascii="Arial" w:hAnsi="Arial"/>
          <w:szCs w:val="22"/>
        </w:rPr>
        <w:t xml:space="preserve"> zatrudnion</w:t>
      </w:r>
      <w:r>
        <w:rPr>
          <w:rFonts w:ascii="Arial" w:hAnsi="Arial"/>
          <w:szCs w:val="22"/>
        </w:rPr>
        <w:t>ych</w:t>
      </w:r>
      <w:r w:rsidR="00940FC9" w:rsidRPr="005A1855">
        <w:rPr>
          <w:rFonts w:ascii="Arial" w:hAnsi="Arial"/>
          <w:szCs w:val="22"/>
        </w:rPr>
        <w:t xml:space="preserve"> przez </w:t>
      </w:r>
      <w:r>
        <w:rPr>
          <w:rFonts w:ascii="Arial" w:hAnsi="Arial"/>
          <w:szCs w:val="22"/>
        </w:rPr>
        <w:t>U</w:t>
      </w:r>
      <w:r w:rsidR="00940FC9" w:rsidRPr="005A1855">
        <w:rPr>
          <w:rFonts w:ascii="Arial" w:hAnsi="Arial"/>
          <w:szCs w:val="22"/>
        </w:rPr>
        <w:t>bezpieczonego na umowę o pracę lub na podstawie umów prawa cywilnego, wykonując</w:t>
      </w:r>
      <w:r>
        <w:rPr>
          <w:rFonts w:ascii="Arial" w:hAnsi="Arial"/>
          <w:szCs w:val="22"/>
        </w:rPr>
        <w:t>ych</w:t>
      </w:r>
      <w:r w:rsidR="00940FC9" w:rsidRPr="005A1855">
        <w:rPr>
          <w:rFonts w:ascii="Arial" w:hAnsi="Arial"/>
          <w:szCs w:val="22"/>
        </w:rPr>
        <w:t xml:space="preserve"> ją pod nadzorem  i</w:t>
      </w:r>
      <w:r>
        <w:rPr>
          <w:rFonts w:ascii="Arial" w:hAnsi="Arial"/>
          <w:szCs w:val="22"/>
        </w:rPr>
        <w:t> </w:t>
      </w:r>
      <w:r w:rsidR="00940FC9" w:rsidRPr="005A1855">
        <w:rPr>
          <w:rFonts w:ascii="Arial" w:hAnsi="Arial"/>
          <w:szCs w:val="22"/>
        </w:rPr>
        <w:t>w</w:t>
      </w:r>
      <w:r>
        <w:rPr>
          <w:rFonts w:ascii="Arial" w:hAnsi="Arial"/>
          <w:szCs w:val="22"/>
        </w:rPr>
        <w:t> </w:t>
      </w:r>
      <w:r w:rsidR="00940FC9" w:rsidRPr="005A1855">
        <w:rPr>
          <w:rFonts w:ascii="Arial" w:hAnsi="Arial"/>
          <w:szCs w:val="22"/>
        </w:rPr>
        <w:t>granicach samodzielnych funkcji technicznych w budownictwie wykonywanych przez ubezpieczonego w ramach posiadanych uprawnień;</w:t>
      </w:r>
    </w:p>
    <w:p w14:paraId="0D243DA8" w14:textId="091646AE" w:rsidR="00940FC9" w:rsidRPr="005A1855" w:rsidRDefault="005A1855" w:rsidP="004A13D9">
      <w:pPr>
        <w:pStyle w:val="Akapitzlist"/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odpowiedzialność Ubezpieczonego za </w:t>
      </w:r>
      <w:r w:rsidR="00940FC9" w:rsidRPr="005A1855">
        <w:rPr>
          <w:rFonts w:ascii="Arial" w:hAnsi="Arial"/>
          <w:szCs w:val="22"/>
        </w:rPr>
        <w:t xml:space="preserve">szkody wyrządzone przez </w:t>
      </w:r>
      <w:r>
        <w:rPr>
          <w:rFonts w:ascii="Arial" w:hAnsi="Arial"/>
          <w:szCs w:val="22"/>
        </w:rPr>
        <w:t>U</w:t>
      </w:r>
      <w:r w:rsidR="00940FC9" w:rsidRPr="005A1855">
        <w:rPr>
          <w:rFonts w:ascii="Arial" w:hAnsi="Arial"/>
          <w:szCs w:val="22"/>
        </w:rPr>
        <w:t xml:space="preserve">bezpieczonego osobom fizycznym zatrudnionym przez </w:t>
      </w:r>
      <w:r>
        <w:rPr>
          <w:rFonts w:ascii="Arial" w:hAnsi="Arial"/>
          <w:szCs w:val="22"/>
        </w:rPr>
        <w:t>U</w:t>
      </w:r>
      <w:r w:rsidR="00940FC9" w:rsidRPr="005A1855">
        <w:rPr>
          <w:rFonts w:ascii="Arial" w:hAnsi="Arial"/>
          <w:szCs w:val="22"/>
        </w:rPr>
        <w:t xml:space="preserve">bezpieczonego na podstawie umowy o pracę (pracownikom) lub wykonującym roboty lub usługi na rzecz </w:t>
      </w:r>
      <w:r>
        <w:rPr>
          <w:rFonts w:ascii="Arial" w:hAnsi="Arial"/>
          <w:szCs w:val="22"/>
        </w:rPr>
        <w:t>U</w:t>
      </w:r>
      <w:r w:rsidR="00940FC9" w:rsidRPr="005A1855">
        <w:rPr>
          <w:rFonts w:ascii="Arial" w:hAnsi="Arial"/>
          <w:szCs w:val="22"/>
        </w:rPr>
        <w:t xml:space="preserve">bezpieczonego na podstawie umowy prawa cywilnego, powstałe w związku ze świadczeniem pracy, robót lub usług na rzecz </w:t>
      </w:r>
      <w:r>
        <w:rPr>
          <w:rFonts w:ascii="Arial" w:hAnsi="Arial"/>
          <w:szCs w:val="22"/>
        </w:rPr>
        <w:t>U</w:t>
      </w:r>
      <w:r w:rsidR="00940FC9" w:rsidRPr="005A1855">
        <w:rPr>
          <w:rFonts w:ascii="Arial" w:hAnsi="Arial"/>
          <w:szCs w:val="22"/>
        </w:rPr>
        <w:t>bezpieczonego</w:t>
      </w:r>
      <w:r>
        <w:rPr>
          <w:rFonts w:ascii="Arial" w:hAnsi="Arial"/>
          <w:szCs w:val="22"/>
        </w:rPr>
        <w:t>;</w:t>
      </w:r>
    </w:p>
    <w:p w14:paraId="6ED39523" w14:textId="7D7C7EEB" w:rsidR="00FE73A6" w:rsidRDefault="00FE73A6" w:rsidP="004A13D9">
      <w:pPr>
        <w:pStyle w:val="Akapitzlist"/>
        <w:widowControl w:val="0"/>
        <w:numPr>
          <w:ilvl w:val="0"/>
          <w:numId w:val="12"/>
        </w:numPr>
        <w:suppressAutoHyphens/>
        <w:ind w:left="426" w:hanging="426"/>
        <w:jc w:val="both"/>
        <w:rPr>
          <w:rFonts w:ascii="Arial" w:hAnsi="Arial"/>
          <w:szCs w:val="22"/>
        </w:rPr>
      </w:pPr>
      <w:r w:rsidRPr="00FE73A6">
        <w:rPr>
          <w:rFonts w:ascii="Arial" w:hAnsi="Arial"/>
          <w:szCs w:val="22"/>
        </w:rPr>
        <w:t>Dla udzielonej ochrony ubezpieczeniowej nie będzie miał znaczenia fakt, że Ubezpieczony wykonuje samodzielne funkcje techniczne w budownictwie w</w:t>
      </w:r>
      <w:r>
        <w:rPr>
          <w:rFonts w:ascii="Arial" w:hAnsi="Arial"/>
          <w:szCs w:val="22"/>
        </w:rPr>
        <w:t> </w:t>
      </w:r>
      <w:r w:rsidRPr="00FE73A6">
        <w:rPr>
          <w:rFonts w:ascii="Arial" w:hAnsi="Arial"/>
          <w:szCs w:val="22"/>
        </w:rPr>
        <w:t>ramach prowadzonej działalności gospodarczej albo umowy o pracę bądź umowy prawa cywilnego.</w:t>
      </w:r>
    </w:p>
    <w:p w14:paraId="320C7EEB" w14:textId="39A13C1C" w:rsidR="00BE39FE" w:rsidRPr="00BE39FE" w:rsidRDefault="00BE39FE" w:rsidP="004A13D9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/>
          <w:szCs w:val="22"/>
        </w:rPr>
      </w:pPr>
      <w:r w:rsidRPr="00BE39FE">
        <w:rPr>
          <w:rFonts w:ascii="Arial" w:hAnsi="Arial"/>
          <w:szCs w:val="22"/>
        </w:rPr>
        <w:lastRenderedPageBreak/>
        <w:t xml:space="preserve">Odpowiedzialnością PZU SA objęte są roszczenia Poszkodowanego lub </w:t>
      </w:r>
      <w:r>
        <w:rPr>
          <w:rFonts w:ascii="Arial" w:hAnsi="Arial"/>
          <w:szCs w:val="22"/>
        </w:rPr>
        <w:t>u</w:t>
      </w:r>
      <w:r w:rsidRPr="00BE39FE">
        <w:rPr>
          <w:rFonts w:ascii="Arial" w:hAnsi="Arial"/>
          <w:szCs w:val="22"/>
        </w:rPr>
        <w:t xml:space="preserve">bezpieczonego dotyczące szkód wyrządzonych Poszkodowanym w następstwie zdarzeń zaistniałych w okresie ubezpieczenia, choćby poszkodowany lub Ubezpieczony zgłosił je po tym okresie, jednak z zachowaniem przewidzianych prawem terminów przedawnienia. </w:t>
      </w:r>
    </w:p>
    <w:p w14:paraId="2C1DEDD7" w14:textId="77777777" w:rsidR="00BE39FE" w:rsidRPr="00FE73A6" w:rsidRDefault="00BE39FE" w:rsidP="00BE39FE">
      <w:pPr>
        <w:pStyle w:val="Akapitzlist"/>
        <w:widowControl w:val="0"/>
        <w:suppressAutoHyphens/>
        <w:ind w:left="426"/>
        <w:jc w:val="both"/>
        <w:rPr>
          <w:rFonts w:ascii="Arial" w:hAnsi="Arial"/>
          <w:szCs w:val="22"/>
        </w:rPr>
      </w:pPr>
    </w:p>
    <w:p w14:paraId="2013B18F" w14:textId="77777777" w:rsidR="00FE73A6" w:rsidRPr="005A1855" w:rsidRDefault="00FE73A6" w:rsidP="00FE73A6">
      <w:pPr>
        <w:pStyle w:val="Akapitzlist"/>
        <w:widowControl w:val="0"/>
        <w:suppressAutoHyphens/>
        <w:ind w:left="851"/>
        <w:jc w:val="both"/>
        <w:rPr>
          <w:rFonts w:ascii="Arial" w:hAnsi="Arial"/>
          <w:szCs w:val="22"/>
        </w:rPr>
      </w:pPr>
    </w:p>
    <w:p w14:paraId="41529DB8" w14:textId="77777777" w:rsidR="002351BF" w:rsidRPr="00F8593F" w:rsidRDefault="002351BF" w:rsidP="003D1D4A">
      <w:pPr>
        <w:jc w:val="center"/>
        <w:rPr>
          <w:rFonts w:ascii="Arial" w:hAnsi="Arial"/>
          <w:b/>
          <w:szCs w:val="22"/>
        </w:rPr>
      </w:pPr>
      <w:r w:rsidRPr="00344AEE">
        <w:rPr>
          <w:rFonts w:ascii="Arial" w:hAnsi="Arial"/>
          <w:b/>
          <w:szCs w:val="22"/>
        </w:rPr>
        <w:t>Wyłączenia odpowiedzialności</w:t>
      </w:r>
    </w:p>
    <w:p w14:paraId="197964C0" w14:textId="51B8E9C3" w:rsidR="002351BF" w:rsidRPr="00F8593F" w:rsidRDefault="002351BF" w:rsidP="001A190E">
      <w:pPr>
        <w:tabs>
          <w:tab w:val="left" w:pos="1650"/>
          <w:tab w:val="center" w:pos="4536"/>
        </w:tabs>
        <w:jc w:val="center"/>
        <w:rPr>
          <w:rFonts w:ascii="Arial" w:hAnsi="Arial"/>
          <w:szCs w:val="22"/>
        </w:rPr>
      </w:pPr>
      <w:r w:rsidRPr="00F8593F">
        <w:rPr>
          <w:rFonts w:ascii="Arial" w:hAnsi="Arial"/>
          <w:b/>
          <w:szCs w:val="22"/>
        </w:rPr>
        <w:t xml:space="preserve">§ </w:t>
      </w:r>
      <w:r w:rsidR="00B90C41">
        <w:rPr>
          <w:rFonts w:ascii="Arial" w:hAnsi="Arial"/>
          <w:b/>
          <w:szCs w:val="22"/>
        </w:rPr>
        <w:t>4</w:t>
      </w:r>
    </w:p>
    <w:p w14:paraId="1CCE8912" w14:textId="77777777" w:rsidR="005A1855" w:rsidRDefault="002351BF" w:rsidP="004A13D9">
      <w:pPr>
        <w:jc w:val="both"/>
        <w:rPr>
          <w:rFonts w:ascii="Arial" w:hAnsi="Arial"/>
          <w:szCs w:val="22"/>
        </w:rPr>
      </w:pPr>
      <w:r w:rsidRPr="00F8593F">
        <w:rPr>
          <w:rFonts w:ascii="Arial" w:hAnsi="Arial"/>
          <w:szCs w:val="22"/>
        </w:rPr>
        <w:t>Zakresem ubezpieczenia</w:t>
      </w:r>
      <w:r w:rsidR="00F02469">
        <w:rPr>
          <w:rFonts w:ascii="Arial" w:hAnsi="Arial"/>
          <w:szCs w:val="22"/>
        </w:rPr>
        <w:t xml:space="preserve"> odpowiedzialności cywilnej </w:t>
      </w:r>
      <w:r w:rsidRPr="00F8593F">
        <w:rPr>
          <w:rFonts w:ascii="Arial" w:hAnsi="Arial"/>
          <w:szCs w:val="22"/>
        </w:rPr>
        <w:t>nie są objęte szkody</w:t>
      </w:r>
      <w:r w:rsidR="005A1855">
        <w:rPr>
          <w:rFonts w:ascii="Arial" w:hAnsi="Arial"/>
          <w:szCs w:val="22"/>
        </w:rPr>
        <w:t>:</w:t>
      </w:r>
    </w:p>
    <w:p w14:paraId="0A9938CD" w14:textId="3070EA8A" w:rsidR="005A1855" w:rsidRPr="005A1855" w:rsidRDefault="005A1855" w:rsidP="004A13D9">
      <w:pPr>
        <w:pStyle w:val="Akapitzlist"/>
        <w:widowControl w:val="0"/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hAnsi="Arial"/>
          <w:szCs w:val="22"/>
        </w:rPr>
      </w:pPr>
      <w:r w:rsidRPr="005A1855">
        <w:rPr>
          <w:rFonts w:ascii="Arial" w:hAnsi="Arial"/>
          <w:szCs w:val="22"/>
        </w:rPr>
        <w:t>powstał</w:t>
      </w:r>
      <w:r>
        <w:rPr>
          <w:rFonts w:ascii="Arial" w:hAnsi="Arial"/>
          <w:szCs w:val="22"/>
        </w:rPr>
        <w:t>e</w:t>
      </w:r>
      <w:r w:rsidRPr="005A1855">
        <w:rPr>
          <w:rFonts w:ascii="Arial" w:hAnsi="Arial"/>
          <w:szCs w:val="22"/>
        </w:rPr>
        <w:t xml:space="preserve"> po skreśleniu ubezpieczonego z listy członków izby, a także w</w:t>
      </w:r>
      <w:r w:rsidR="00EE0F12">
        <w:rPr>
          <w:rFonts w:ascii="Arial" w:hAnsi="Arial"/>
          <w:szCs w:val="22"/>
        </w:rPr>
        <w:t> </w:t>
      </w:r>
      <w:r w:rsidRPr="005A1855">
        <w:rPr>
          <w:rFonts w:ascii="Arial" w:hAnsi="Arial"/>
          <w:szCs w:val="22"/>
        </w:rPr>
        <w:t>okresie zawieszenia w prawach członka izby, chyba że szkoda jest następstwem wykonywania samodzielnych funkcji technicznych w</w:t>
      </w:r>
      <w:r w:rsidR="00EE0F12">
        <w:rPr>
          <w:rFonts w:ascii="Arial" w:hAnsi="Arial"/>
          <w:szCs w:val="22"/>
        </w:rPr>
        <w:t> </w:t>
      </w:r>
      <w:r w:rsidRPr="005A1855">
        <w:rPr>
          <w:rFonts w:ascii="Arial" w:hAnsi="Arial"/>
          <w:szCs w:val="22"/>
        </w:rPr>
        <w:t>budownictwie przed skreśleniem lub zawieszeniem;</w:t>
      </w:r>
    </w:p>
    <w:p w14:paraId="3324B45D" w14:textId="27CBFAA1" w:rsidR="005A1855" w:rsidRPr="005A1855" w:rsidRDefault="005A1855" w:rsidP="004A13D9">
      <w:pPr>
        <w:pStyle w:val="Akapitzlist"/>
        <w:widowControl w:val="0"/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hAnsi="Arial"/>
          <w:szCs w:val="22"/>
        </w:rPr>
      </w:pPr>
      <w:r w:rsidRPr="005A1855">
        <w:rPr>
          <w:rFonts w:ascii="Arial" w:hAnsi="Arial"/>
          <w:szCs w:val="22"/>
        </w:rPr>
        <w:t>wynikł</w:t>
      </w:r>
      <w:r>
        <w:rPr>
          <w:rFonts w:ascii="Arial" w:hAnsi="Arial"/>
          <w:szCs w:val="22"/>
        </w:rPr>
        <w:t>e</w:t>
      </w:r>
      <w:r w:rsidRPr="005A1855">
        <w:rPr>
          <w:rFonts w:ascii="Arial" w:hAnsi="Arial"/>
          <w:szCs w:val="22"/>
        </w:rPr>
        <w:t xml:space="preserve"> z przekroczenia terminów;</w:t>
      </w:r>
    </w:p>
    <w:p w14:paraId="22282DDA" w14:textId="04FFC5B4" w:rsidR="005A1855" w:rsidRPr="005A1855" w:rsidRDefault="005A1855" w:rsidP="004A13D9">
      <w:pPr>
        <w:pStyle w:val="Akapitzlist"/>
        <w:widowControl w:val="0"/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hAnsi="Arial"/>
          <w:szCs w:val="22"/>
        </w:rPr>
      </w:pPr>
      <w:r w:rsidRPr="005A1855">
        <w:rPr>
          <w:rFonts w:ascii="Arial" w:hAnsi="Arial"/>
          <w:szCs w:val="22"/>
        </w:rPr>
        <w:t>polegając</w:t>
      </w:r>
      <w:r>
        <w:rPr>
          <w:rFonts w:ascii="Arial" w:hAnsi="Arial"/>
          <w:szCs w:val="22"/>
        </w:rPr>
        <w:t>e</w:t>
      </w:r>
      <w:r w:rsidRPr="005A1855">
        <w:rPr>
          <w:rFonts w:ascii="Arial" w:hAnsi="Arial"/>
          <w:szCs w:val="22"/>
        </w:rPr>
        <w:t xml:space="preserve"> na zapłacie kar umownych;</w:t>
      </w:r>
    </w:p>
    <w:p w14:paraId="7A73C468" w14:textId="5A368FFA" w:rsidR="005A1855" w:rsidRPr="005A1855" w:rsidRDefault="005A1855" w:rsidP="004A13D9">
      <w:pPr>
        <w:pStyle w:val="Akapitzlist"/>
        <w:widowControl w:val="0"/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hAnsi="Arial"/>
          <w:szCs w:val="22"/>
        </w:rPr>
      </w:pPr>
      <w:r w:rsidRPr="005A1855">
        <w:rPr>
          <w:rFonts w:ascii="Arial" w:hAnsi="Arial"/>
          <w:szCs w:val="22"/>
        </w:rPr>
        <w:t>powstał</w:t>
      </w:r>
      <w:r>
        <w:rPr>
          <w:rFonts w:ascii="Arial" w:hAnsi="Arial"/>
          <w:szCs w:val="22"/>
        </w:rPr>
        <w:t>e</w:t>
      </w:r>
      <w:r w:rsidRPr="005A1855">
        <w:rPr>
          <w:rFonts w:ascii="Arial" w:hAnsi="Arial"/>
          <w:szCs w:val="22"/>
        </w:rPr>
        <w:t xml:space="preserve"> w wskutek naruszenia praw autorskich i patentów;</w:t>
      </w:r>
    </w:p>
    <w:p w14:paraId="4642BD2C" w14:textId="540D54AB" w:rsidR="005A1855" w:rsidRDefault="005A1855" w:rsidP="004A13D9">
      <w:pPr>
        <w:pStyle w:val="Akapitzlist"/>
        <w:widowControl w:val="0"/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hAnsi="Arial"/>
          <w:szCs w:val="22"/>
        </w:rPr>
      </w:pPr>
      <w:r w:rsidRPr="005A1855">
        <w:rPr>
          <w:rFonts w:ascii="Arial" w:hAnsi="Arial"/>
          <w:szCs w:val="22"/>
        </w:rPr>
        <w:t>powstał</w:t>
      </w:r>
      <w:r>
        <w:rPr>
          <w:rFonts w:ascii="Arial" w:hAnsi="Arial"/>
          <w:szCs w:val="22"/>
        </w:rPr>
        <w:t>e</w:t>
      </w:r>
      <w:r w:rsidRPr="005A1855">
        <w:rPr>
          <w:rFonts w:ascii="Arial" w:hAnsi="Arial"/>
          <w:szCs w:val="22"/>
        </w:rPr>
        <w:t xml:space="preserve"> w wyniku normalnego zużycia lub wadliwej eksploatacji obiektów budowlanych</w:t>
      </w:r>
      <w:r w:rsidR="002901CC">
        <w:rPr>
          <w:rFonts w:ascii="Arial" w:hAnsi="Arial"/>
          <w:szCs w:val="22"/>
        </w:rPr>
        <w:t>;</w:t>
      </w:r>
    </w:p>
    <w:p w14:paraId="1E7600A9" w14:textId="0D986D4E" w:rsidR="002901CC" w:rsidRPr="005A1855" w:rsidRDefault="002901CC" w:rsidP="004A13D9">
      <w:pPr>
        <w:pStyle w:val="Akapitzlist"/>
        <w:widowControl w:val="0"/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hAnsi="Arial"/>
          <w:szCs w:val="22"/>
        </w:rPr>
      </w:pPr>
      <w:r w:rsidRPr="002901CC">
        <w:rPr>
          <w:rFonts w:ascii="Arial" w:hAnsi="Arial"/>
          <w:szCs w:val="22"/>
        </w:rPr>
        <w:t>powstałych wskutek działań wojennych, stanu wojennego, rozruchów i zamieszek, a także aktów terroru</w:t>
      </w:r>
    </w:p>
    <w:p w14:paraId="035B7232" w14:textId="77777777" w:rsidR="002351BF" w:rsidRDefault="002351BF" w:rsidP="003D1D4A">
      <w:pPr>
        <w:jc w:val="center"/>
        <w:rPr>
          <w:rFonts w:ascii="Arial" w:hAnsi="Arial"/>
          <w:b/>
          <w:szCs w:val="22"/>
        </w:rPr>
      </w:pPr>
    </w:p>
    <w:p w14:paraId="5D072FAE" w14:textId="77777777" w:rsidR="002351BF" w:rsidRPr="00F8593F" w:rsidRDefault="002351BF" w:rsidP="00DB0959">
      <w:pPr>
        <w:jc w:val="center"/>
        <w:rPr>
          <w:rFonts w:ascii="Arial" w:hAnsi="Arial"/>
          <w:color w:val="76923C"/>
          <w:szCs w:val="22"/>
        </w:rPr>
      </w:pPr>
      <w:r w:rsidRPr="00F8593F">
        <w:rPr>
          <w:rFonts w:ascii="Arial" w:hAnsi="Arial"/>
          <w:b/>
          <w:szCs w:val="22"/>
        </w:rPr>
        <w:t>Suma gwarancyjna</w:t>
      </w:r>
      <w:r w:rsidRPr="00F8593F" w:rsidDel="00EF6165">
        <w:rPr>
          <w:rFonts w:ascii="Arial" w:hAnsi="Arial"/>
          <w:color w:val="76923C"/>
          <w:szCs w:val="22"/>
        </w:rPr>
        <w:t xml:space="preserve"> </w:t>
      </w:r>
    </w:p>
    <w:p w14:paraId="77BD1939" w14:textId="17A03B7B" w:rsidR="002351BF" w:rsidRPr="00F8593F" w:rsidRDefault="002351BF" w:rsidP="00DB0959">
      <w:pPr>
        <w:jc w:val="center"/>
        <w:rPr>
          <w:rFonts w:ascii="Arial" w:hAnsi="Arial"/>
          <w:b/>
          <w:szCs w:val="22"/>
        </w:rPr>
      </w:pPr>
      <w:r w:rsidRPr="00F8593F">
        <w:rPr>
          <w:rFonts w:ascii="Arial" w:hAnsi="Arial"/>
          <w:b/>
          <w:szCs w:val="22"/>
        </w:rPr>
        <w:t xml:space="preserve">§ </w:t>
      </w:r>
      <w:r w:rsidR="00E23703">
        <w:rPr>
          <w:rFonts w:ascii="Arial" w:hAnsi="Arial"/>
          <w:b/>
          <w:szCs w:val="22"/>
        </w:rPr>
        <w:t>5</w:t>
      </w:r>
    </w:p>
    <w:p w14:paraId="4AEC9DFF" w14:textId="72ED63B9" w:rsidR="00105561" w:rsidRDefault="002351BF" w:rsidP="004A13D9">
      <w:pPr>
        <w:pStyle w:val="Pa4"/>
        <w:numPr>
          <w:ilvl w:val="0"/>
          <w:numId w:val="13"/>
        </w:numPr>
        <w:ind w:left="426" w:hanging="426"/>
        <w:jc w:val="both"/>
      </w:pPr>
      <w:r w:rsidRPr="00854D19">
        <w:rPr>
          <w:szCs w:val="22"/>
        </w:rPr>
        <w:t>S</w:t>
      </w:r>
      <w:r w:rsidRPr="006F1931">
        <w:rPr>
          <w:szCs w:val="22"/>
        </w:rPr>
        <w:t>uma gwarancyjna</w:t>
      </w:r>
      <w:r w:rsidR="007E24C5">
        <w:rPr>
          <w:szCs w:val="22"/>
        </w:rPr>
        <w:t xml:space="preserve"> z tytułu odpowiedzialności, o której mowa w </w:t>
      </w:r>
      <w:r w:rsidR="007E24C5" w:rsidRPr="006F1931">
        <w:rPr>
          <w:szCs w:val="22"/>
        </w:rPr>
        <w:t>§ 3</w:t>
      </w:r>
      <w:r w:rsidR="003D60B9">
        <w:rPr>
          <w:szCs w:val="22"/>
        </w:rPr>
        <w:t xml:space="preserve"> </w:t>
      </w:r>
      <w:r w:rsidR="007E24C5">
        <w:rPr>
          <w:szCs w:val="22"/>
        </w:rPr>
        <w:t>ust.</w:t>
      </w:r>
      <w:r w:rsidR="00E23703">
        <w:rPr>
          <w:szCs w:val="22"/>
        </w:rPr>
        <w:t>2-3</w:t>
      </w:r>
      <w:r w:rsidR="007E24C5">
        <w:rPr>
          <w:szCs w:val="22"/>
        </w:rPr>
        <w:t xml:space="preserve">, </w:t>
      </w:r>
      <w:r w:rsidR="003D60B9">
        <w:rPr>
          <w:szCs w:val="22"/>
        </w:rPr>
        <w:t>odnośnie każdego Ubezpieczonego i 12 – miesięcznego okresu ubezpieczenia wynosi</w:t>
      </w:r>
      <w:r w:rsidRPr="006F1931">
        <w:rPr>
          <w:szCs w:val="22"/>
        </w:rPr>
        <w:t xml:space="preserve">, zgodnie z § </w:t>
      </w:r>
      <w:r w:rsidR="00E23703">
        <w:rPr>
          <w:szCs w:val="22"/>
        </w:rPr>
        <w:t>4</w:t>
      </w:r>
      <w:r w:rsidRPr="006F1931">
        <w:rPr>
          <w:szCs w:val="22"/>
        </w:rPr>
        <w:t xml:space="preserve"> ust.1</w:t>
      </w:r>
      <w:r w:rsidR="00854D19" w:rsidRPr="0020087E">
        <w:rPr>
          <w:szCs w:val="22"/>
        </w:rPr>
        <w:t>,</w:t>
      </w:r>
      <w:r w:rsidRPr="00854D19">
        <w:rPr>
          <w:szCs w:val="22"/>
        </w:rPr>
        <w:t xml:space="preserve"> </w:t>
      </w:r>
      <w:r w:rsidRPr="006F1931">
        <w:rPr>
          <w:szCs w:val="22"/>
        </w:rPr>
        <w:t xml:space="preserve">równowartość w złotych </w:t>
      </w:r>
      <w:r w:rsidR="00A5555D">
        <w:rPr>
          <w:szCs w:val="22"/>
        </w:rPr>
        <w:t>10</w:t>
      </w:r>
      <w:r w:rsidR="00C81DA3">
        <w:rPr>
          <w:szCs w:val="22"/>
        </w:rPr>
        <w:t>0</w:t>
      </w:r>
      <w:r w:rsidRPr="006F1931">
        <w:rPr>
          <w:szCs w:val="22"/>
        </w:rPr>
        <w:t>.000 euro w odniesieniu do jednego zdarzenia</w:t>
      </w:r>
      <w:r w:rsidR="00854D19" w:rsidRPr="0020087E">
        <w:rPr>
          <w:szCs w:val="22"/>
        </w:rPr>
        <w:t>, któr</w:t>
      </w:r>
      <w:r w:rsidR="00FE73A6">
        <w:rPr>
          <w:szCs w:val="22"/>
        </w:rPr>
        <w:t>ego</w:t>
      </w:r>
      <w:r w:rsidR="00854D19" w:rsidRPr="0020087E">
        <w:rPr>
          <w:szCs w:val="22"/>
        </w:rPr>
        <w:t xml:space="preserve"> skutki objęte </w:t>
      </w:r>
      <w:r w:rsidR="00CA4B3D">
        <w:rPr>
          <w:szCs w:val="22"/>
        </w:rPr>
        <w:t xml:space="preserve">są </w:t>
      </w:r>
      <w:r w:rsidR="00CA4B3D" w:rsidRPr="00D266F6">
        <w:t xml:space="preserve">Umową </w:t>
      </w:r>
      <w:bookmarkStart w:id="2" w:name="_Hlk156835611"/>
      <w:r w:rsidR="00CA4B3D" w:rsidRPr="00D266F6">
        <w:t>obowiązkowego ubezpieczenia</w:t>
      </w:r>
      <w:r w:rsidR="00CA4B3D">
        <w:t xml:space="preserve"> OC</w:t>
      </w:r>
      <w:r w:rsidR="00FE73A6">
        <w:t xml:space="preserve"> </w:t>
      </w:r>
      <w:r w:rsidR="002901CC">
        <w:t>architekta</w:t>
      </w:r>
      <w:bookmarkEnd w:id="2"/>
      <w:r w:rsidR="002901CC">
        <w:t>.</w:t>
      </w:r>
    </w:p>
    <w:p w14:paraId="5D7F23B1" w14:textId="77777777" w:rsidR="0064097A" w:rsidRDefault="00105561" w:rsidP="004A13D9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szCs w:val="22"/>
          <w:lang w:eastAsia="en-US"/>
        </w:rPr>
      </w:pPr>
      <w:bookmarkStart w:id="3" w:name="_Hlk158904486"/>
      <w:r w:rsidRPr="00105561">
        <w:rPr>
          <w:rFonts w:ascii="Arial" w:hAnsi="Arial" w:cs="Arial"/>
          <w:szCs w:val="22"/>
          <w:lang w:eastAsia="en-US"/>
        </w:rPr>
        <w:t xml:space="preserve">Architekci </w:t>
      </w:r>
      <w:r w:rsidR="0064097A">
        <w:rPr>
          <w:rFonts w:ascii="Arial" w:hAnsi="Arial" w:cs="Arial"/>
          <w:szCs w:val="22"/>
          <w:lang w:eastAsia="en-US"/>
        </w:rPr>
        <w:t xml:space="preserve">członkowie IARP </w:t>
      </w:r>
      <w:r w:rsidRPr="00105561">
        <w:rPr>
          <w:rFonts w:ascii="Arial" w:hAnsi="Arial" w:cs="Arial"/>
          <w:szCs w:val="22"/>
          <w:lang w:eastAsia="en-US"/>
        </w:rPr>
        <w:t xml:space="preserve">mają możliwość wyboru </w:t>
      </w:r>
      <w:r w:rsidR="0064097A">
        <w:rPr>
          <w:rFonts w:ascii="Arial" w:hAnsi="Arial" w:cs="Arial"/>
          <w:szCs w:val="22"/>
          <w:lang w:eastAsia="en-US"/>
        </w:rPr>
        <w:t xml:space="preserve">dodatkowych </w:t>
      </w:r>
      <w:r w:rsidRPr="00105561">
        <w:rPr>
          <w:rFonts w:ascii="Arial" w:hAnsi="Arial" w:cs="Arial"/>
          <w:szCs w:val="22"/>
          <w:lang w:eastAsia="en-US"/>
        </w:rPr>
        <w:t xml:space="preserve">sum </w:t>
      </w:r>
      <w:r w:rsidR="0064097A">
        <w:rPr>
          <w:rFonts w:ascii="Arial" w:hAnsi="Arial" w:cs="Arial"/>
          <w:szCs w:val="22"/>
          <w:lang w:eastAsia="en-US"/>
        </w:rPr>
        <w:t xml:space="preserve">gwarancyjnych spośród następujących: </w:t>
      </w:r>
    </w:p>
    <w:bookmarkEnd w:id="3"/>
    <w:p w14:paraId="01BD8E75" w14:textId="77777777" w:rsidR="0064097A" w:rsidRDefault="0064097A" w:rsidP="004A13D9">
      <w:pPr>
        <w:pStyle w:val="Akapitzlist"/>
        <w:numPr>
          <w:ilvl w:val="2"/>
          <w:numId w:val="6"/>
        </w:numPr>
        <w:ind w:left="993" w:hanging="56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150.000 euro,</w:t>
      </w:r>
    </w:p>
    <w:p w14:paraId="03FEC338" w14:textId="32451F1E" w:rsidR="0064097A" w:rsidRDefault="0064097A" w:rsidP="004A13D9">
      <w:pPr>
        <w:pStyle w:val="Akapitzlist"/>
        <w:numPr>
          <w:ilvl w:val="2"/>
          <w:numId w:val="6"/>
        </w:numPr>
        <w:ind w:left="993" w:hanging="56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200.000 euro,</w:t>
      </w:r>
    </w:p>
    <w:p w14:paraId="20C79BF7" w14:textId="4C074263" w:rsidR="0064097A" w:rsidRDefault="0064097A" w:rsidP="004A13D9">
      <w:pPr>
        <w:pStyle w:val="Akapitzlist"/>
        <w:numPr>
          <w:ilvl w:val="2"/>
          <w:numId w:val="6"/>
        </w:numPr>
        <w:ind w:left="993" w:hanging="56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250.000 euro,</w:t>
      </w:r>
    </w:p>
    <w:p w14:paraId="4D8AA502" w14:textId="195382BC" w:rsidR="0064097A" w:rsidRDefault="0064097A" w:rsidP="004A13D9">
      <w:pPr>
        <w:pStyle w:val="Akapitzlist"/>
        <w:numPr>
          <w:ilvl w:val="2"/>
          <w:numId w:val="6"/>
        </w:numPr>
        <w:ind w:left="993" w:hanging="56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300.000 euro,</w:t>
      </w:r>
    </w:p>
    <w:p w14:paraId="33CB3319" w14:textId="42965FB3" w:rsidR="0064097A" w:rsidRDefault="0064097A" w:rsidP="004A13D9">
      <w:pPr>
        <w:pStyle w:val="Akapitzlist"/>
        <w:numPr>
          <w:ilvl w:val="2"/>
          <w:numId w:val="6"/>
        </w:numPr>
        <w:ind w:left="993" w:hanging="56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400.000 euro,</w:t>
      </w:r>
    </w:p>
    <w:p w14:paraId="3B8820C9" w14:textId="298F9B5F" w:rsidR="0064097A" w:rsidRDefault="0064097A" w:rsidP="004A13D9">
      <w:pPr>
        <w:pStyle w:val="Akapitzlist"/>
        <w:numPr>
          <w:ilvl w:val="2"/>
          <w:numId w:val="6"/>
        </w:numPr>
        <w:ind w:left="993" w:hanging="56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500.000 euro,</w:t>
      </w:r>
    </w:p>
    <w:p w14:paraId="0548529F" w14:textId="437554C1" w:rsidR="0064097A" w:rsidRDefault="0064097A" w:rsidP="004A13D9">
      <w:pPr>
        <w:pStyle w:val="Akapitzlist"/>
        <w:numPr>
          <w:ilvl w:val="2"/>
          <w:numId w:val="6"/>
        </w:numPr>
        <w:ind w:left="993" w:hanging="56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750.000 euro,</w:t>
      </w:r>
    </w:p>
    <w:p w14:paraId="07413606" w14:textId="5003931C" w:rsidR="0064097A" w:rsidRDefault="0064097A" w:rsidP="004A13D9">
      <w:pPr>
        <w:pStyle w:val="Akapitzlist"/>
        <w:numPr>
          <w:ilvl w:val="2"/>
          <w:numId w:val="6"/>
        </w:numPr>
        <w:ind w:left="993" w:hanging="56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1.000.000 euro,</w:t>
      </w:r>
    </w:p>
    <w:p w14:paraId="342F7675" w14:textId="7CDDA37C" w:rsidR="0064097A" w:rsidRDefault="0064097A" w:rsidP="004A13D9">
      <w:pPr>
        <w:pStyle w:val="Akapitzlist"/>
        <w:numPr>
          <w:ilvl w:val="2"/>
          <w:numId w:val="6"/>
        </w:numPr>
        <w:ind w:left="993" w:hanging="56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1.250.000 euro.</w:t>
      </w:r>
    </w:p>
    <w:p w14:paraId="1817B189" w14:textId="46CB656C" w:rsidR="00105561" w:rsidRPr="00105561" w:rsidRDefault="00105561" w:rsidP="0064097A">
      <w:pPr>
        <w:pStyle w:val="Akapitzlist"/>
        <w:ind w:left="720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 xml:space="preserve"> </w:t>
      </w:r>
    </w:p>
    <w:p w14:paraId="5FCE0DFB" w14:textId="77777777" w:rsidR="00FE73A6" w:rsidRDefault="00FE73A6" w:rsidP="003410A8">
      <w:pPr>
        <w:jc w:val="center"/>
        <w:rPr>
          <w:rFonts w:ascii="Arial" w:hAnsi="Arial" w:cs="Microsoft Sans Serif"/>
          <w:b/>
        </w:rPr>
      </w:pPr>
    </w:p>
    <w:p w14:paraId="3AE1BE32" w14:textId="4D0F521D" w:rsidR="003410A8" w:rsidRPr="001D44E6" w:rsidRDefault="003410A8" w:rsidP="003410A8">
      <w:pPr>
        <w:jc w:val="center"/>
        <w:rPr>
          <w:rFonts w:ascii="Arial" w:hAnsi="Arial" w:cs="Microsoft Sans Serif"/>
          <w:b/>
          <w:i/>
        </w:rPr>
      </w:pPr>
      <w:r w:rsidRPr="003A65D1">
        <w:rPr>
          <w:rFonts w:ascii="Arial" w:hAnsi="Arial" w:cs="Microsoft Sans Serif"/>
          <w:b/>
        </w:rPr>
        <w:t xml:space="preserve">§ </w:t>
      </w:r>
      <w:r w:rsidR="00FE73A6">
        <w:rPr>
          <w:rFonts w:ascii="Arial" w:hAnsi="Arial" w:cs="Microsoft Sans Serif"/>
          <w:b/>
        </w:rPr>
        <w:t>6</w:t>
      </w:r>
    </w:p>
    <w:p w14:paraId="014A69D9" w14:textId="1780A731" w:rsidR="003410A8" w:rsidRPr="00995495" w:rsidRDefault="003410A8" w:rsidP="004A13D9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ind w:left="426" w:hanging="426"/>
        <w:jc w:val="both"/>
        <w:rPr>
          <w:rFonts w:ascii="Arial" w:hAnsi="Arial"/>
        </w:rPr>
      </w:pPr>
      <w:r w:rsidRPr="00995495">
        <w:rPr>
          <w:rFonts w:ascii="Arial" w:hAnsi="Arial"/>
        </w:rPr>
        <w:t xml:space="preserve">W razie powzięcia informacji o </w:t>
      </w:r>
      <w:r w:rsidR="006A698E">
        <w:rPr>
          <w:rFonts w:ascii="Arial" w:hAnsi="Arial"/>
        </w:rPr>
        <w:t xml:space="preserve">możliwym </w:t>
      </w:r>
      <w:r w:rsidRPr="00995495">
        <w:rPr>
          <w:rFonts w:ascii="Arial" w:hAnsi="Arial"/>
        </w:rPr>
        <w:t>roszczeniu, jeszcze przed złożeniem przez poszkodowanego roszczenia na piśmie, Ubezpieczony zobowiązany jest powiadomić</w:t>
      </w:r>
      <w:r w:rsidR="00053DA6">
        <w:rPr>
          <w:rFonts w:ascii="Arial" w:hAnsi="Arial"/>
        </w:rPr>
        <w:t xml:space="preserve"> PZU SA</w:t>
      </w:r>
      <w:r w:rsidRPr="00995495">
        <w:rPr>
          <w:rFonts w:ascii="Arial" w:hAnsi="Arial"/>
        </w:rPr>
        <w:t xml:space="preserve">, </w:t>
      </w:r>
      <w:r>
        <w:rPr>
          <w:rFonts w:ascii="Arial" w:hAnsi="Arial"/>
        </w:rPr>
        <w:t xml:space="preserve">za pośrednictwem </w:t>
      </w:r>
      <w:r w:rsidRPr="00995495">
        <w:rPr>
          <w:rFonts w:ascii="Arial" w:hAnsi="Arial"/>
        </w:rPr>
        <w:t>jednostk</w:t>
      </w:r>
      <w:r>
        <w:rPr>
          <w:rFonts w:ascii="Arial" w:hAnsi="Arial"/>
        </w:rPr>
        <w:t xml:space="preserve">i </w:t>
      </w:r>
      <w:r w:rsidRPr="00995495">
        <w:rPr>
          <w:rFonts w:ascii="Arial" w:hAnsi="Arial"/>
        </w:rPr>
        <w:t>wskazan</w:t>
      </w:r>
      <w:r>
        <w:rPr>
          <w:rFonts w:ascii="Arial" w:hAnsi="Arial"/>
        </w:rPr>
        <w:t xml:space="preserve">ej </w:t>
      </w:r>
      <w:r w:rsidRPr="00995495">
        <w:rPr>
          <w:rFonts w:ascii="Arial" w:hAnsi="Arial"/>
        </w:rPr>
        <w:t xml:space="preserve">w </w:t>
      </w:r>
      <w:r>
        <w:rPr>
          <w:rFonts w:ascii="Arial" w:hAnsi="Arial"/>
        </w:rPr>
        <w:t xml:space="preserve">§ 3 </w:t>
      </w:r>
      <w:r w:rsidR="003E2C8D">
        <w:rPr>
          <w:rFonts w:ascii="Arial" w:hAnsi="Arial"/>
        </w:rPr>
        <w:t>Umowy</w:t>
      </w:r>
      <w:r>
        <w:rPr>
          <w:rFonts w:ascii="Arial" w:hAnsi="Arial"/>
        </w:rPr>
        <w:t>,</w:t>
      </w:r>
      <w:r w:rsidRPr="00995495">
        <w:rPr>
          <w:rFonts w:ascii="Arial" w:hAnsi="Arial"/>
        </w:rPr>
        <w:t xml:space="preserve"> o możliwości wniesienia roszczenia przez poszkodowanego.</w:t>
      </w:r>
    </w:p>
    <w:p w14:paraId="1ECB499B" w14:textId="25A47FB1" w:rsidR="003410A8" w:rsidRPr="00995495" w:rsidRDefault="003410A8" w:rsidP="004A13D9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ind w:left="426" w:hanging="426"/>
        <w:jc w:val="both"/>
        <w:rPr>
          <w:rFonts w:ascii="Arial" w:hAnsi="Arial"/>
        </w:rPr>
      </w:pPr>
      <w:r w:rsidRPr="00995495">
        <w:rPr>
          <w:rFonts w:ascii="Arial" w:hAnsi="Arial"/>
        </w:rPr>
        <w:t xml:space="preserve">W przypadku </w:t>
      </w:r>
      <w:r>
        <w:rPr>
          <w:rFonts w:ascii="Arial" w:hAnsi="Arial"/>
        </w:rPr>
        <w:t xml:space="preserve">zgłoszenia </w:t>
      </w:r>
      <w:r w:rsidRPr="00995495">
        <w:rPr>
          <w:rFonts w:ascii="Arial" w:hAnsi="Arial"/>
        </w:rPr>
        <w:t xml:space="preserve">roszczenia </w:t>
      </w:r>
      <w:r>
        <w:rPr>
          <w:rFonts w:ascii="Arial" w:hAnsi="Arial"/>
        </w:rPr>
        <w:t xml:space="preserve">przez </w:t>
      </w:r>
      <w:r w:rsidRPr="00995495">
        <w:rPr>
          <w:rFonts w:ascii="Arial" w:hAnsi="Arial"/>
        </w:rPr>
        <w:t>poszkodowanego</w:t>
      </w:r>
      <w:r>
        <w:rPr>
          <w:rFonts w:ascii="Arial" w:hAnsi="Arial"/>
        </w:rPr>
        <w:t xml:space="preserve">, </w:t>
      </w:r>
      <w:r w:rsidRPr="00995495">
        <w:rPr>
          <w:rFonts w:ascii="Arial" w:hAnsi="Arial"/>
        </w:rPr>
        <w:t>Ubezpieczony zobowiązany jest przesłać do</w:t>
      </w:r>
      <w:r w:rsidR="006A698E">
        <w:rPr>
          <w:rFonts w:ascii="Arial" w:hAnsi="Arial"/>
        </w:rPr>
        <w:t xml:space="preserve"> PZU SA</w:t>
      </w:r>
      <w:r w:rsidRPr="00995495">
        <w:rPr>
          <w:rFonts w:ascii="Arial" w:hAnsi="Arial"/>
        </w:rPr>
        <w:t xml:space="preserve">, </w:t>
      </w:r>
      <w:r>
        <w:rPr>
          <w:rFonts w:ascii="Arial" w:hAnsi="Arial"/>
        </w:rPr>
        <w:t xml:space="preserve">za pośrednictwem jednostki </w:t>
      </w:r>
      <w:r w:rsidRPr="00995495">
        <w:rPr>
          <w:rFonts w:ascii="Arial" w:hAnsi="Arial"/>
        </w:rPr>
        <w:t>wskazan</w:t>
      </w:r>
      <w:r>
        <w:rPr>
          <w:rFonts w:ascii="Arial" w:hAnsi="Arial"/>
        </w:rPr>
        <w:t>ej</w:t>
      </w:r>
      <w:r w:rsidRPr="00995495">
        <w:rPr>
          <w:rFonts w:ascii="Arial" w:hAnsi="Arial"/>
        </w:rPr>
        <w:t xml:space="preserve"> w </w:t>
      </w:r>
      <w:r w:rsidRPr="00457FC9">
        <w:rPr>
          <w:rFonts w:ascii="Arial" w:hAnsi="Arial"/>
        </w:rPr>
        <w:t>§ 3</w:t>
      </w:r>
      <w:r>
        <w:rPr>
          <w:rFonts w:ascii="Arial" w:hAnsi="Arial"/>
        </w:rPr>
        <w:t xml:space="preserve"> </w:t>
      </w:r>
      <w:r w:rsidR="003E2C8D">
        <w:rPr>
          <w:rFonts w:ascii="Arial" w:hAnsi="Arial"/>
        </w:rPr>
        <w:t>Umowy</w:t>
      </w:r>
      <w:r w:rsidRPr="00457FC9">
        <w:rPr>
          <w:rFonts w:ascii="Arial" w:hAnsi="Arial"/>
        </w:rPr>
        <w:t>,</w:t>
      </w:r>
      <w:r w:rsidRPr="00995495">
        <w:rPr>
          <w:rFonts w:ascii="Arial" w:hAnsi="Arial"/>
        </w:rPr>
        <w:t xml:space="preserve"> zawiadomienie o </w:t>
      </w:r>
      <w:r>
        <w:rPr>
          <w:rFonts w:ascii="Arial" w:hAnsi="Arial"/>
        </w:rPr>
        <w:t xml:space="preserve">zgłoszonym </w:t>
      </w:r>
      <w:r w:rsidRPr="00995495">
        <w:rPr>
          <w:rFonts w:ascii="Arial" w:hAnsi="Arial"/>
        </w:rPr>
        <w:t>roszczeniu oraz załączyć jego kopię</w:t>
      </w:r>
      <w:r>
        <w:rPr>
          <w:rFonts w:ascii="Arial" w:hAnsi="Arial"/>
        </w:rPr>
        <w:t>,</w:t>
      </w:r>
      <w:r w:rsidRPr="00995495">
        <w:rPr>
          <w:rFonts w:ascii="Arial" w:hAnsi="Arial"/>
        </w:rPr>
        <w:t xml:space="preserve"> </w:t>
      </w:r>
      <w:r w:rsidRPr="00995495">
        <w:rPr>
          <w:rFonts w:ascii="Arial" w:hAnsi="Arial"/>
        </w:rPr>
        <w:lastRenderedPageBreak/>
        <w:t xml:space="preserve">niezwłocznie, nie później jednak niż w terminie 14 dni od dnia </w:t>
      </w:r>
      <w:r>
        <w:rPr>
          <w:rFonts w:ascii="Arial" w:hAnsi="Arial"/>
        </w:rPr>
        <w:t xml:space="preserve">zgłoszenia </w:t>
      </w:r>
      <w:r w:rsidRPr="00995495">
        <w:rPr>
          <w:rFonts w:ascii="Arial" w:hAnsi="Arial"/>
        </w:rPr>
        <w:t>roszczenia.</w:t>
      </w:r>
    </w:p>
    <w:p w14:paraId="77D37362" w14:textId="0BAA0F02" w:rsidR="003410A8" w:rsidRPr="00286B0C" w:rsidRDefault="003410A8" w:rsidP="004A13D9">
      <w:pPr>
        <w:numPr>
          <w:ilvl w:val="0"/>
          <w:numId w:val="1"/>
        </w:numPr>
        <w:tabs>
          <w:tab w:val="clear" w:pos="0"/>
          <w:tab w:val="left" w:pos="360"/>
          <w:tab w:val="left" w:pos="426"/>
        </w:tabs>
        <w:suppressAutoHyphens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995495">
        <w:rPr>
          <w:rFonts w:ascii="Arial" w:hAnsi="Arial"/>
        </w:rPr>
        <w:t xml:space="preserve">Na żądanie </w:t>
      </w:r>
      <w:r w:rsidR="006A698E">
        <w:rPr>
          <w:rFonts w:ascii="Arial" w:hAnsi="Arial"/>
        </w:rPr>
        <w:t xml:space="preserve">PZU SA </w:t>
      </w:r>
      <w:r w:rsidRPr="00995495">
        <w:rPr>
          <w:rFonts w:ascii="Arial" w:hAnsi="Arial"/>
        </w:rPr>
        <w:t xml:space="preserve">Ubezpieczony zobowiązany jest do udzielenia wyjaśnień, dostarczenia </w:t>
      </w:r>
      <w:r w:rsidR="00B630E5">
        <w:rPr>
          <w:rFonts w:ascii="Arial" w:hAnsi="Arial"/>
        </w:rPr>
        <w:t xml:space="preserve">posiadanych </w:t>
      </w:r>
      <w:r w:rsidRPr="00995495">
        <w:rPr>
          <w:rFonts w:ascii="Arial" w:hAnsi="Arial"/>
        </w:rPr>
        <w:t xml:space="preserve">dowodów </w:t>
      </w:r>
      <w:r w:rsidR="00B630E5">
        <w:rPr>
          <w:rFonts w:ascii="Arial" w:hAnsi="Arial"/>
        </w:rPr>
        <w:t>dotyczących zdarzenia i szkody oraz ułatwi</w:t>
      </w:r>
      <w:r w:rsidR="00423AD3">
        <w:rPr>
          <w:rFonts w:ascii="Arial" w:hAnsi="Arial"/>
        </w:rPr>
        <w:t>enia</w:t>
      </w:r>
      <w:r w:rsidR="00B630E5">
        <w:rPr>
          <w:rFonts w:ascii="Arial" w:hAnsi="Arial"/>
        </w:rPr>
        <w:t xml:space="preserve"> ustaleni</w:t>
      </w:r>
      <w:r w:rsidR="00423AD3">
        <w:rPr>
          <w:rFonts w:ascii="Arial" w:hAnsi="Arial"/>
        </w:rPr>
        <w:t>a</w:t>
      </w:r>
      <w:r w:rsidR="00B630E5">
        <w:rPr>
          <w:rFonts w:ascii="Arial" w:hAnsi="Arial"/>
        </w:rPr>
        <w:t xml:space="preserve"> przez PZU SA okoliczności zdarzenia i rozmiaru szkód</w:t>
      </w:r>
      <w:r w:rsidRPr="00995495">
        <w:rPr>
          <w:rFonts w:ascii="Arial" w:hAnsi="Arial"/>
        </w:rPr>
        <w:t xml:space="preserve">. </w:t>
      </w:r>
      <w:r w:rsidRPr="00286B0C">
        <w:rPr>
          <w:rFonts w:ascii="Arial" w:hAnsi="Arial"/>
        </w:rPr>
        <w:t xml:space="preserve">W przypadku braku albo niewystarczających wyjaśnień lub nie przedłożenia przez Ubezpieczonego dowodów potrzebnych do ustalenia okoliczności i rozmiarów wyrządzonej szkody, </w:t>
      </w:r>
      <w:r w:rsidR="00053DA6" w:rsidRPr="002A63AC">
        <w:rPr>
          <w:rFonts w:ascii="Arial" w:hAnsi="Arial"/>
        </w:rPr>
        <w:t xml:space="preserve">PZU SA </w:t>
      </w:r>
      <w:r w:rsidRPr="002A63AC">
        <w:rPr>
          <w:rFonts w:ascii="Arial" w:hAnsi="Arial"/>
        </w:rPr>
        <w:t xml:space="preserve">może zwrócić się do </w:t>
      </w:r>
      <w:r w:rsidR="002901CC">
        <w:rPr>
          <w:rFonts w:ascii="Arial" w:hAnsi="Arial"/>
        </w:rPr>
        <w:t>IARP</w:t>
      </w:r>
      <w:r w:rsidRPr="002A63AC">
        <w:rPr>
          <w:rFonts w:ascii="Arial" w:hAnsi="Arial"/>
        </w:rPr>
        <w:t xml:space="preserve"> z prośbą o udzielenie pomocy w ustaleniu okoliczności i rozmiarów wyrządzonej szkody, w ustaleniu odpowiedzialności Ubezpieczonego oraz przeprowadzeniu postępowania wyjaśniającego.</w:t>
      </w:r>
    </w:p>
    <w:p w14:paraId="05FE652A" w14:textId="77777777" w:rsidR="003410A8" w:rsidRPr="00286B0C" w:rsidRDefault="003410A8" w:rsidP="003410A8">
      <w:pPr>
        <w:tabs>
          <w:tab w:val="left" w:pos="0"/>
        </w:tabs>
        <w:jc w:val="center"/>
        <w:rPr>
          <w:rFonts w:ascii="Arial" w:hAnsi="Arial"/>
          <w:b/>
        </w:rPr>
      </w:pPr>
    </w:p>
    <w:p w14:paraId="0B7B9D01" w14:textId="63990C5D" w:rsidR="003410A8" w:rsidRPr="00286B0C" w:rsidRDefault="003410A8" w:rsidP="003410A8">
      <w:pPr>
        <w:tabs>
          <w:tab w:val="left" w:pos="0"/>
        </w:tabs>
        <w:jc w:val="center"/>
        <w:rPr>
          <w:rFonts w:ascii="Arial" w:hAnsi="Arial"/>
          <w:i/>
        </w:rPr>
      </w:pPr>
      <w:r w:rsidRPr="00C40E8E">
        <w:rPr>
          <w:rFonts w:ascii="Arial" w:hAnsi="Arial"/>
          <w:b/>
        </w:rPr>
        <w:t xml:space="preserve">§ </w:t>
      </w:r>
      <w:r w:rsidR="00FE73A6">
        <w:rPr>
          <w:rFonts w:ascii="Arial" w:hAnsi="Arial"/>
          <w:b/>
        </w:rPr>
        <w:t>7</w:t>
      </w:r>
    </w:p>
    <w:p w14:paraId="204490C7" w14:textId="11EFC3F9" w:rsidR="00657B6D" w:rsidRPr="00286B0C" w:rsidRDefault="006A698E" w:rsidP="004A13D9">
      <w:pPr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rFonts w:ascii="Arial" w:hAnsi="Arial"/>
        </w:rPr>
      </w:pPr>
      <w:r w:rsidRPr="002A63AC">
        <w:rPr>
          <w:rFonts w:ascii="Arial" w:hAnsi="Arial"/>
        </w:rPr>
        <w:t>Uznanie lub zaspokojenie roszczeń</w:t>
      </w:r>
      <w:r w:rsidR="003410A8" w:rsidRPr="002A63AC">
        <w:rPr>
          <w:rFonts w:ascii="Arial" w:hAnsi="Arial"/>
        </w:rPr>
        <w:t xml:space="preserve"> przez Ubezpieczonego</w:t>
      </w:r>
      <w:r w:rsidRPr="002A63AC">
        <w:rPr>
          <w:rFonts w:ascii="Arial" w:hAnsi="Arial"/>
        </w:rPr>
        <w:t xml:space="preserve">, zawarcie </w:t>
      </w:r>
      <w:r w:rsidR="00657B6D" w:rsidRPr="002A63AC">
        <w:rPr>
          <w:rFonts w:ascii="Arial" w:hAnsi="Arial"/>
        </w:rPr>
        <w:t xml:space="preserve">przez niego </w:t>
      </w:r>
      <w:r w:rsidRPr="002A63AC">
        <w:rPr>
          <w:rFonts w:ascii="Arial" w:hAnsi="Arial"/>
        </w:rPr>
        <w:t>ugody z poszkodowanym bądź zrzeczenie się zarzutu przedawnienia</w:t>
      </w:r>
      <w:r w:rsidR="00657B6D" w:rsidRPr="002A63AC">
        <w:rPr>
          <w:rFonts w:ascii="Arial" w:hAnsi="Arial"/>
        </w:rPr>
        <w:t xml:space="preserve"> nie powoduje zobowiązania PZU SA do zapłaty odszkodowania na rzecz poszkodowanego ani do zwrotu na rzecz Ubezpieczonego kosztów uiszczonego przez niego odszkodowania, chyba że po przeprowadzeniu postępowania likwidacyjnego przez </w:t>
      </w:r>
      <w:r w:rsidR="00C23174">
        <w:rPr>
          <w:rFonts w:ascii="Arial" w:hAnsi="Arial"/>
        </w:rPr>
        <w:t>PZU SA</w:t>
      </w:r>
      <w:r w:rsidR="00657B6D" w:rsidRPr="002A63AC">
        <w:rPr>
          <w:rFonts w:ascii="Arial" w:hAnsi="Arial"/>
        </w:rPr>
        <w:t xml:space="preserve"> okaże się, że roszczenie poszkodowanego było zasadne. </w:t>
      </w:r>
      <w:r w:rsidR="003410A8" w:rsidRPr="002A63AC">
        <w:rPr>
          <w:rFonts w:ascii="Arial" w:hAnsi="Arial"/>
        </w:rPr>
        <w:t xml:space="preserve"> </w:t>
      </w:r>
    </w:p>
    <w:p w14:paraId="432FEAD1" w14:textId="3410A5BA" w:rsidR="003410A8" w:rsidRPr="00657B6D" w:rsidRDefault="003410A8" w:rsidP="004A13D9">
      <w:pPr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rFonts w:ascii="Arial" w:hAnsi="Arial"/>
        </w:rPr>
      </w:pPr>
      <w:r w:rsidRPr="00657B6D">
        <w:rPr>
          <w:rFonts w:ascii="Arial" w:hAnsi="Arial"/>
        </w:rPr>
        <w:t>Jeżeli przeciwko Ubezpieczonemu wszczęte zostało postępowanie karne, administracyjne, cywilne lub inne, dotyczące zdarzenia mogącego rodzić odpowiedzialność ubezpieczeniową</w:t>
      </w:r>
      <w:r w:rsidR="00193B16">
        <w:rPr>
          <w:rFonts w:ascii="Arial" w:hAnsi="Arial"/>
        </w:rPr>
        <w:t xml:space="preserve"> PZU SA</w:t>
      </w:r>
      <w:r w:rsidRPr="00657B6D">
        <w:rPr>
          <w:rFonts w:ascii="Arial" w:hAnsi="Arial"/>
        </w:rPr>
        <w:t xml:space="preserve">, Ubezpieczony jest zobowiązany natychmiast zawiadomić o tym </w:t>
      </w:r>
      <w:r w:rsidR="00193B16">
        <w:rPr>
          <w:rFonts w:ascii="Arial" w:hAnsi="Arial"/>
        </w:rPr>
        <w:t xml:space="preserve">PZU SA </w:t>
      </w:r>
      <w:r w:rsidRPr="00657B6D">
        <w:rPr>
          <w:rFonts w:ascii="Arial" w:hAnsi="Arial"/>
        </w:rPr>
        <w:t xml:space="preserve">za pośrednictwem jednostki wskazanej w § 3 </w:t>
      </w:r>
      <w:r w:rsidR="003E2C8D">
        <w:rPr>
          <w:rFonts w:ascii="Arial" w:hAnsi="Arial"/>
        </w:rPr>
        <w:t>Umowy</w:t>
      </w:r>
      <w:r w:rsidRPr="00657B6D">
        <w:rPr>
          <w:rFonts w:ascii="Arial" w:hAnsi="Arial"/>
        </w:rPr>
        <w:t xml:space="preserve">.    </w:t>
      </w:r>
    </w:p>
    <w:p w14:paraId="20503795" w14:textId="62987D64" w:rsidR="003410A8" w:rsidRPr="00995495" w:rsidRDefault="003410A8" w:rsidP="004A13D9">
      <w:pPr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rFonts w:ascii="Arial" w:hAnsi="Arial"/>
        </w:rPr>
      </w:pPr>
      <w:r w:rsidRPr="00995495">
        <w:rPr>
          <w:rFonts w:ascii="Arial" w:hAnsi="Arial"/>
        </w:rPr>
        <w:t xml:space="preserve">Ubezpieczony zobowiązany jest przekazać do </w:t>
      </w:r>
      <w:r w:rsidR="00193B16">
        <w:rPr>
          <w:rFonts w:ascii="Arial" w:hAnsi="Arial"/>
        </w:rPr>
        <w:t xml:space="preserve">PZU SA </w:t>
      </w:r>
      <w:r>
        <w:rPr>
          <w:rFonts w:ascii="Arial" w:hAnsi="Arial"/>
        </w:rPr>
        <w:t xml:space="preserve">za pośrednictwem jednostki </w:t>
      </w:r>
      <w:r w:rsidRPr="00995495">
        <w:rPr>
          <w:rFonts w:ascii="Arial" w:hAnsi="Arial"/>
        </w:rPr>
        <w:t>wskazan</w:t>
      </w:r>
      <w:r>
        <w:rPr>
          <w:rFonts w:ascii="Arial" w:hAnsi="Arial"/>
        </w:rPr>
        <w:t>ej</w:t>
      </w:r>
      <w:r w:rsidRPr="00995495">
        <w:rPr>
          <w:rFonts w:ascii="Arial" w:hAnsi="Arial"/>
        </w:rPr>
        <w:t xml:space="preserve"> w </w:t>
      </w:r>
      <w:r w:rsidRPr="00457FC9">
        <w:rPr>
          <w:rFonts w:ascii="Arial" w:hAnsi="Arial"/>
        </w:rPr>
        <w:t>§ 3</w:t>
      </w:r>
      <w:r w:rsidR="00BF7784">
        <w:rPr>
          <w:rFonts w:ascii="Arial" w:hAnsi="Arial"/>
        </w:rPr>
        <w:t xml:space="preserve"> </w:t>
      </w:r>
      <w:r w:rsidR="003E2C8D">
        <w:rPr>
          <w:rFonts w:ascii="Arial" w:hAnsi="Arial"/>
        </w:rPr>
        <w:t>Umowy</w:t>
      </w:r>
      <w:r w:rsidRPr="00995495">
        <w:rPr>
          <w:rFonts w:ascii="Arial" w:hAnsi="Arial"/>
        </w:rPr>
        <w:t xml:space="preserve">, rozstrzygnięcie organu w sprawie karnej, administracyjnej, cywilnej lub innej związanej z wyrządzoną przez Ubezpieczonego szkodą, z którego wynika odpowiedzialność odszkodowawcza Ubezpieczonego w takim czasie, aby umożliwić </w:t>
      </w:r>
      <w:r w:rsidR="00193B16">
        <w:rPr>
          <w:rFonts w:ascii="Arial" w:hAnsi="Arial"/>
        </w:rPr>
        <w:t xml:space="preserve">PZU SA </w:t>
      </w:r>
      <w:r w:rsidRPr="00995495">
        <w:rPr>
          <w:rFonts w:ascii="Arial" w:hAnsi="Arial"/>
        </w:rPr>
        <w:t xml:space="preserve">zajęcie stanowiska odnośnie wniesienia środka odwoławczego, o ile </w:t>
      </w:r>
      <w:r w:rsidR="00193B16">
        <w:rPr>
          <w:rFonts w:ascii="Arial" w:hAnsi="Arial"/>
        </w:rPr>
        <w:t xml:space="preserve">PZU SA </w:t>
      </w:r>
      <w:r w:rsidRPr="00995495">
        <w:rPr>
          <w:rFonts w:ascii="Arial" w:hAnsi="Arial"/>
        </w:rPr>
        <w:t>nie bra</w:t>
      </w:r>
      <w:r w:rsidR="003A65D1">
        <w:rPr>
          <w:rFonts w:ascii="Arial" w:hAnsi="Arial"/>
        </w:rPr>
        <w:t>ł</w:t>
      </w:r>
      <w:r w:rsidRPr="00995495">
        <w:rPr>
          <w:rFonts w:ascii="Arial" w:hAnsi="Arial"/>
        </w:rPr>
        <w:t xml:space="preserve"> udziału w tym postępowaniu. </w:t>
      </w:r>
    </w:p>
    <w:p w14:paraId="407118EF" w14:textId="77777777" w:rsidR="003410A8" w:rsidRPr="00995495" w:rsidRDefault="003410A8" w:rsidP="003410A8">
      <w:pPr>
        <w:tabs>
          <w:tab w:val="left" w:pos="360"/>
        </w:tabs>
        <w:jc w:val="both"/>
        <w:rPr>
          <w:rFonts w:ascii="Arial" w:hAnsi="Arial"/>
        </w:rPr>
      </w:pPr>
    </w:p>
    <w:p w14:paraId="4DD65F71" w14:textId="1673B1FE" w:rsidR="003410A8" w:rsidRPr="00995495" w:rsidRDefault="003410A8" w:rsidP="003410A8">
      <w:pPr>
        <w:jc w:val="center"/>
        <w:rPr>
          <w:rFonts w:ascii="Arial" w:hAnsi="Arial"/>
          <w:i/>
        </w:rPr>
      </w:pPr>
      <w:r w:rsidRPr="00995495">
        <w:rPr>
          <w:rFonts w:ascii="Arial" w:hAnsi="Arial"/>
          <w:b/>
        </w:rPr>
        <w:t xml:space="preserve">§ </w:t>
      </w:r>
      <w:r w:rsidR="00FE73A6">
        <w:rPr>
          <w:rFonts w:ascii="Arial" w:hAnsi="Arial" w:cs="Microsoft Sans Serif"/>
          <w:b/>
        </w:rPr>
        <w:t>8</w:t>
      </w:r>
    </w:p>
    <w:p w14:paraId="6B49149E" w14:textId="35EF0BD6" w:rsidR="003410A8" w:rsidRPr="00474C57" w:rsidRDefault="003410A8" w:rsidP="004A13D9">
      <w:pPr>
        <w:pStyle w:val="NormalnyWeb1"/>
        <w:numPr>
          <w:ilvl w:val="0"/>
          <w:numId w:val="3"/>
        </w:numPr>
        <w:tabs>
          <w:tab w:val="clear" w:pos="1080"/>
        </w:tabs>
        <w:spacing w:before="0" w:after="0"/>
        <w:ind w:left="426" w:hanging="426"/>
        <w:jc w:val="both"/>
        <w:rPr>
          <w:rFonts w:ascii="Arial" w:hAnsi="Arial"/>
          <w:kern w:val="24"/>
        </w:rPr>
      </w:pPr>
      <w:r w:rsidRPr="00474C57">
        <w:rPr>
          <w:rFonts w:ascii="Arial" w:hAnsi="Arial"/>
          <w:kern w:val="24"/>
        </w:rPr>
        <w:t xml:space="preserve">Odszkodowanie wypłacane jest na podstawie uznania przez </w:t>
      </w:r>
      <w:r w:rsidR="003229C5">
        <w:rPr>
          <w:rFonts w:ascii="Arial" w:hAnsi="Arial"/>
          <w:kern w:val="24"/>
        </w:rPr>
        <w:t xml:space="preserve">PZU SA </w:t>
      </w:r>
      <w:r w:rsidRPr="00474C57">
        <w:rPr>
          <w:rFonts w:ascii="Arial" w:hAnsi="Arial"/>
          <w:kern w:val="24"/>
        </w:rPr>
        <w:t xml:space="preserve">roszczenia </w:t>
      </w:r>
      <w:r w:rsidR="00335624">
        <w:rPr>
          <w:rFonts w:ascii="Arial" w:hAnsi="Arial"/>
          <w:kern w:val="24"/>
        </w:rPr>
        <w:t xml:space="preserve">poszkodowanego lub </w:t>
      </w:r>
      <w:r w:rsidRPr="00474C57">
        <w:rPr>
          <w:rFonts w:ascii="Arial" w:hAnsi="Arial"/>
          <w:kern w:val="24"/>
        </w:rPr>
        <w:t>uprawnionego z umowy ubezpieczenia</w:t>
      </w:r>
      <w:r w:rsidR="003229C5">
        <w:rPr>
          <w:rFonts w:ascii="Arial" w:hAnsi="Arial"/>
          <w:kern w:val="24"/>
        </w:rPr>
        <w:t xml:space="preserve"> w wyniku ustaleń</w:t>
      </w:r>
      <w:r>
        <w:rPr>
          <w:rFonts w:ascii="Arial" w:hAnsi="Arial"/>
          <w:kern w:val="24"/>
        </w:rPr>
        <w:t>,</w:t>
      </w:r>
      <w:r w:rsidRPr="00474C57">
        <w:rPr>
          <w:rFonts w:ascii="Arial" w:hAnsi="Arial"/>
          <w:kern w:val="24"/>
        </w:rPr>
        <w:t xml:space="preserve"> zawartej z nim </w:t>
      </w:r>
      <w:r w:rsidR="003229C5">
        <w:rPr>
          <w:rFonts w:ascii="Arial" w:hAnsi="Arial"/>
          <w:kern w:val="24"/>
        </w:rPr>
        <w:t xml:space="preserve">ugody, </w:t>
      </w:r>
      <w:r w:rsidRPr="00474C57">
        <w:rPr>
          <w:rFonts w:ascii="Arial" w:hAnsi="Arial"/>
          <w:kern w:val="24"/>
        </w:rPr>
        <w:t>prawomocnego orzeczenia sądu</w:t>
      </w:r>
      <w:r w:rsidR="00C23174" w:rsidRPr="00A25747">
        <w:rPr>
          <w:rFonts w:ascii="Arial" w:hAnsi="Arial"/>
          <w:kern w:val="24"/>
        </w:rPr>
        <w:t xml:space="preserve"> lub w sposób określony w przepisach ustawy z 6 listopada 2008 r. o prawach pacjenta i Rzeczniku Praw Pacjenta.</w:t>
      </w:r>
      <w:r w:rsidRPr="00474C57">
        <w:rPr>
          <w:rFonts w:ascii="Arial" w:hAnsi="Arial"/>
          <w:kern w:val="24"/>
        </w:rPr>
        <w:t xml:space="preserve"> </w:t>
      </w:r>
    </w:p>
    <w:p w14:paraId="6DA8E768" w14:textId="218AB658" w:rsidR="003410A8" w:rsidRPr="00474C57" w:rsidRDefault="003410A8" w:rsidP="004A13D9">
      <w:pPr>
        <w:pStyle w:val="NormalnyWeb1"/>
        <w:numPr>
          <w:ilvl w:val="0"/>
          <w:numId w:val="3"/>
        </w:numPr>
        <w:tabs>
          <w:tab w:val="clear" w:pos="1080"/>
        </w:tabs>
        <w:spacing w:before="0" w:after="0"/>
        <w:ind w:left="426" w:hanging="426"/>
        <w:jc w:val="both"/>
        <w:rPr>
          <w:rFonts w:ascii="Arial" w:hAnsi="Arial"/>
          <w:kern w:val="24"/>
        </w:rPr>
      </w:pPr>
      <w:r w:rsidRPr="00474C57">
        <w:rPr>
          <w:rFonts w:ascii="Arial" w:hAnsi="Arial"/>
          <w:kern w:val="24"/>
        </w:rPr>
        <w:t>Odszkodowanie wypłaca się w granicach odpowiedzialności cywilnej Ubezpieczonego, nie w</w:t>
      </w:r>
      <w:r w:rsidR="00DB5D9E">
        <w:rPr>
          <w:rFonts w:ascii="Arial" w:hAnsi="Arial"/>
          <w:kern w:val="24"/>
        </w:rPr>
        <w:t>ięcej</w:t>
      </w:r>
      <w:r w:rsidRPr="00474C57">
        <w:rPr>
          <w:rFonts w:ascii="Arial" w:hAnsi="Arial"/>
          <w:kern w:val="24"/>
        </w:rPr>
        <w:t xml:space="preserve"> jednak niż do wysokości sumy gwarancyjnej</w:t>
      </w:r>
      <w:r w:rsidR="00C23174" w:rsidRPr="00A25747">
        <w:rPr>
          <w:rFonts w:ascii="Arial" w:hAnsi="Arial"/>
          <w:kern w:val="24"/>
        </w:rPr>
        <w:t xml:space="preserve"> ustalonej w § </w:t>
      </w:r>
      <w:r w:rsidR="00FE73A6">
        <w:rPr>
          <w:rFonts w:ascii="Arial" w:hAnsi="Arial"/>
          <w:kern w:val="24"/>
        </w:rPr>
        <w:t>5</w:t>
      </w:r>
      <w:r w:rsidR="00C23174" w:rsidRPr="00A25747">
        <w:rPr>
          <w:rFonts w:ascii="Arial" w:hAnsi="Arial"/>
          <w:kern w:val="24"/>
        </w:rPr>
        <w:t>.</w:t>
      </w:r>
      <w:r w:rsidRPr="00474C57">
        <w:rPr>
          <w:rFonts w:ascii="Arial" w:hAnsi="Arial"/>
          <w:kern w:val="24"/>
        </w:rPr>
        <w:t xml:space="preserve">  </w:t>
      </w:r>
    </w:p>
    <w:p w14:paraId="58598F9A" w14:textId="302CBD92" w:rsidR="003410A8" w:rsidRPr="00474C57" w:rsidRDefault="005E321B" w:rsidP="004A13D9">
      <w:pPr>
        <w:pStyle w:val="NormalnyWeb1"/>
        <w:numPr>
          <w:ilvl w:val="0"/>
          <w:numId w:val="3"/>
        </w:numPr>
        <w:tabs>
          <w:tab w:val="clear" w:pos="1080"/>
        </w:tabs>
        <w:spacing w:before="0" w:after="0"/>
        <w:ind w:left="426" w:hanging="426"/>
        <w:jc w:val="both"/>
        <w:rPr>
          <w:rFonts w:ascii="Arial" w:hAnsi="Arial"/>
          <w:kern w:val="24"/>
        </w:rPr>
      </w:pPr>
      <w:r>
        <w:rPr>
          <w:rFonts w:ascii="Arial" w:hAnsi="Arial"/>
          <w:kern w:val="24"/>
        </w:rPr>
        <w:t xml:space="preserve">PZU SA </w:t>
      </w:r>
      <w:r w:rsidR="003410A8" w:rsidRPr="00474C57">
        <w:rPr>
          <w:rFonts w:ascii="Arial" w:hAnsi="Arial"/>
          <w:kern w:val="24"/>
        </w:rPr>
        <w:t xml:space="preserve">wypłaca odszkodowanie w terminie 30 dni licząc od dnia złożenia </w:t>
      </w:r>
      <w:r>
        <w:rPr>
          <w:rFonts w:ascii="Arial" w:hAnsi="Arial"/>
          <w:kern w:val="24"/>
        </w:rPr>
        <w:t>przez poszkodowanego lub uprawnionego zawiadomienia o szkodzie.</w:t>
      </w:r>
    </w:p>
    <w:p w14:paraId="7EE6F1CA" w14:textId="6D72A0C1" w:rsidR="003410A8" w:rsidRPr="00474C57" w:rsidRDefault="003410A8" w:rsidP="004A13D9">
      <w:pPr>
        <w:pStyle w:val="NormalnyWeb1"/>
        <w:numPr>
          <w:ilvl w:val="0"/>
          <w:numId w:val="3"/>
        </w:numPr>
        <w:tabs>
          <w:tab w:val="clear" w:pos="1080"/>
        </w:tabs>
        <w:spacing w:before="0" w:after="0"/>
        <w:ind w:left="426" w:hanging="426"/>
        <w:jc w:val="both"/>
        <w:rPr>
          <w:rFonts w:ascii="Arial" w:hAnsi="Arial"/>
          <w:kern w:val="24"/>
        </w:rPr>
      </w:pPr>
      <w:r w:rsidRPr="00474C57">
        <w:rPr>
          <w:rFonts w:ascii="Arial" w:hAnsi="Arial"/>
          <w:kern w:val="24"/>
        </w:rPr>
        <w:t xml:space="preserve">W przypadku, gdyby wyjaśnienie w terminie, o którym mowa w ust. </w:t>
      </w:r>
      <w:r w:rsidR="00FE73A6">
        <w:rPr>
          <w:rFonts w:ascii="Arial" w:hAnsi="Arial"/>
          <w:kern w:val="24"/>
        </w:rPr>
        <w:t>3</w:t>
      </w:r>
      <w:r w:rsidRPr="00474C57">
        <w:rPr>
          <w:rFonts w:ascii="Arial" w:hAnsi="Arial"/>
          <w:kern w:val="24"/>
        </w:rPr>
        <w:t xml:space="preserve">, okoliczności niezbędnych do ustalenia odpowiedzialności </w:t>
      </w:r>
      <w:r w:rsidR="005E321B">
        <w:rPr>
          <w:rFonts w:ascii="Arial" w:hAnsi="Arial"/>
          <w:kern w:val="24"/>
        </w:rPr>
        <w:t xml:space="preserve">PZU SA </w:t>
      </w:r>
      <w:r w:rsidRPr="00474C57">
        <w:rPr>
          <w:rFonts w:ascii="Arial" w:hAnsi="Arial"/>
          <w:kern w:val="24"/>
        </w:rPr>
        <w:t xml:space="preserve">albo wysokości odszkodowania, okazało się niemożliwe, odszkodowanie wypłaca się w terminie 14 dni od dnia, w którym przy zachowaniu należytej staranności wyjaśnienie tych okoliczności było możliwe, nie później jednak niż w terminie 90 dni od dnia złożenia zawiadomienia o szkodzie, chyba że ustalenie odpowiedzialności </w:t>
      </w:r>
      <w:r w:rsidR="005E321B">
        <w:rPr>
          <w:rFonts w:ascii="Arial" w:hAnsi="Arial"/>
          <w:kern w:val="24"/>
        </w:rPr>
        <w:t xml:space="preserve">PZU SA </w:t>
      </w:r>
      <w:r w:rsidRPr="00474C57">
        <w:rPr>
          <w:rFonts w:ascii="Arial" w:hAnsi="Arial"/>
          <w:kern w:val="24"/>
        </w:rPr>
        <w:t xml:space="preserve">albo </w:t>
      </w:r>
      <w:r w:rsidRPr="00474C57">
        <w:rPr>
          <w:rFonts w:ascii="Arial" w:hAnsi="Arial"/>
          <w:kern w:val="24"/>
        </w:rPr>
        <w:lastRenderedPageBreak/>
        <w:t xml:space="preserve">wysokości odszkodowania zależy od toczącego się postępowania karnego lub cywilnego. W terminie, o którym mowa w ust. </w:t>
      </w:r>
      <w:r w:rsidR="00FE73A6">
        <w:rPr>
          <w:rFonts w:ascii="Arial" w:hAnsi="Arial"/>
          <w:kern w:val="24"/>
        </w:rPr>
        <w:t>3</w:t>
      </w:r>
      <w:r w:rsidRPr="00474C57">
        <w:rPr>
          <w:rFonts w:ascii="Arial" w:hAnsi="Arial"/>
          <w:kern w:val="24"/>
        </w:rPr>
        <w:t xml:space="preserve">, </w:t>
      </w:r>
      <w:r w:rsidR="005E321B">
        <w:rPr>
          <w:rFonts w:ascii="Arial" w:hAnsi="Arial"/>
          <w:kern w:val="24"/>
        </w:rPr>
        <w:t xml:space="preserve">PZU SA </w:t>
      </w:r>
      <w:r w:rsidRPr="00474C57">
        <w:rPr>
          <w:rFonts w:ascii="Arial" w:hAnsi="Arial"/>
          <w:kern w:val="24"/>
        </w:rPr>
        <w:t xml:space="preserve">zawiadamia na piśmie </w:t>
      </w:r>
      <w:r w:rsidR="00335624">
        <w:rPr>
          <w:rFonts w:ascii="Arial" w:hAnsi="Arial"/>
          <w:kern w:val="24"/>
        </w:rPr>
        <w:t xml:space="preserve">poszkodowanego lub </w:t>
      </w:r>
      <w:r w:rsidRPr="00474C57">
        <w:rPr>
          <w:rFonts w:ascii="Arial" w:hAnsi="Arial"/>
          <w:kern w:val="24"/>
        </w:rPr>
        <w:t>uprawnionego o przyczynach niemożności zaspokojenia jego roszczeń w całości lub w części, jak również o przypuszczalnym terminie zajęcia ostatecznego stanowiska względem roszczeń uprawnionego, a także wypłac</w:t>
      </w:r>
      <w:r w:rsidR="00266E67">
        <w:rPr>
          <w:rFonts w:ascii="Arial" w:hAnsi="Arial"/>
          <w:kern w:val="24"/>
        </w:rPr>
        <w:t>a</w:t>
      </w:r>
      <w:r w:rsidRPr="00474C57">
        <w:rPr>
          <w:rFonts w:ascii="Arial" w:hAnsi="Arial"/>
          <w:kern w:val="24"/>
        </w:rPr>
        <w:t xml:space="preserve"> bezsporną część odszkodowania.</w:t>
      </w:r>
    </w:p>
    <w:p w14:paraId="7CD6D355" w14:textId="6683401F" w:rsidR="003410A8" w:rsidRPr="00474C57" w:rsidRDefault="003410A8" w:rsidP="004A13D9">
      <w:pPr>
        <w:pStyle w:val="NormalnyWeb1"/>
        <w:numPr>
          <w:ilvl w:val="0"/>
          <w:numId w:val="3"/>
        </w:numPr>
        <w:tabs>
          <w:tab w:val="clear" w:pos="1080"/>
        </w:tabs>
        <w:spacing w:before="0" w:after="0"/>
        <w:ind w:left="426" w:hanging="426"/>
        <w:jc w:val="both"/>
        <w:rPr>
          <w:rFonts w:ascii="Arial" w:hAnsi="Arial"/>
          <w:kern w:val="24"/>
        </w:rPr>
      </w:pPr>
      <w:r w:rsidRPr="00474C57">
        <w:rPr>
          <w:rFonts w:ascii="Arial" w:hAnsi="Arial"/>
          <w:kern w:val="24"/>
        </w:rPr>
        <w:t xml:space="preserve">Jeżeli odszkodowanie nie przysługuje lub przysługuje w innej wysokości niż określona w zgłoszonym roszczeniu, </w:t>
      </w:r>
      <w:r w:rsidR="005E321B">
        <w:rPr>
          <w:rFonts w:ascii="Arial" w:hAnsi="Arial"/>
          <w:kern w:val="24"/>
        </w:rPr>
        <w:t xml:space="preserve">PZU SA </w:t>
      </w:r>
      <w:r w:rsidRPr="00474C57">
        <w:rPr>
          <w:rFonts w:ascii="Arial" w:hAnsi="Arial"/>
          <w:kern w:val="24"/>
        </w:rPr>
        <w:t>informuj</w:t>
      </w:r>
      <w:r w:rsidR="009A3F30">
        <w:rPr>
          <w:rFonts w:ascii="Arial" w:hAnsi="Arial"/>
          <w:kern w:val="24"/>
        </w:rPr>
        <w:t>e</w:t>
      </w:r>
      <w:r w:rsidRPr="00474C57">
        <w:rPr>
          <w:rFonts w:ascii="Arial" w:hAnsi="Arial"/>
          <w:kern w:val="24"/>
        </w:rPr>
        <w:t xml:space="preserve"> o tym na piśmie osobę występującą z </w:t>
      </w:r>
      <w:r w:rsidR="005E321B">
        <w:rPr>
          <w:rFonts w:ascii="Arial" w:hAnsi="Arial"/>
          <w:kern w:val="24"/>
        </w:rPr>
        <w:t xml:space="preserve">roszczeniem </w:t>
      </w:r>
      <w:r w:rsidRPr="00474C57">
        <w:rPr>
          <w:rFonts w:ascii="Arial" w:hAnsi="Arial"/>
          <w:kern w:val="24"/>
        </w:rPr>
        <w:t xml:space="preserve">w terminie, o którym mowa w </w:t>
      </w:r>
      <w:r w:rsidR="00DB5D9E">
        <w:rPr>
          <w:rFonts w:ascii="Arial" w:hAnsi="Arial"/>
          <w:kern w:val="24"/>
        </w:rPr>
        <w:t xml:space="preserve">ust. </w:t>
      </w:r>
      <w:r w:rsidR="00FE73A6">
        <w:rPr>
          <w:rFonts w:ascii="Arial" w:hAnsi="Arial"/>
          <w:kern w:val="24"/>
        </w:rPr>
        <w:t>3</w:t>
      </w:r>
      <w:r w:rsidR="00DB5D9E">
        <w:rPr>
          <w:rFonts w:ascii="Arial" w:hAnsi="Arial"/>
          <w:kern w:val="24"/>
        </w:rPr>
        <w:t xml:space="preserve"> albo </w:t>
      </w:r>
      <w:r w:rsidR="00FE73A6">
        <w:rPr>
          <w:rFonts w:ascii="Arial" w:hAnsi="Arial"/>
          <w:kern w:val="24"/>
        </w:rPr>
        <w:t>4</w:t>
      </w:r>
      <w:r w:rsidR="005E321B">
        <w:rPr>
          <w:rFonts w:ascii="Arial" w:hAnsi="Arial"/>
          <w:kern w:val="24"/>
        </w:rPr>
        <w:t xml:space="preserve">, </w:t>
      </w:r>
      <w:r w:rsidRPr="00474C57">
        <w:rPr>
          <w:rFonts w:ascii="Arial" w:hAnsi="Arial"/>
          <w:kern w:val="24"/>
        </w:rPr>
        <w:t xml:space="preserve">wskazując na okoliczności oraz podstawę prawną uzasadniającą całkowitą lub częściową odmowę </w:t>
      </w:r>
      <w:r w:rsidR="005E321B">
        <w:rPr>
          <w:rFonts w:ascii="Arial" w:hAnsi="Arial"/>
          <w:kern w:val="24"/>
        </w:rPr>
        <w:t>wypłaty odszkodowania</w:t>
      </w:r>
      <w:r w:rsidRPr="00474C57">
        <w:rPr>
          <w:rFonts w:ascii="Arial" w:hAnsi="Arial"/>
          <w:kern w:val="24"/>
        </w:rPr>
        <w:t>, jak również na przyczyny, dla których odmówi</w:t>
      </w:r>
      <w:r w:rsidR="005E321B">
        <w:rPr>
          <w:rFonts w:ascii="Arial" w:hAnsi="Arial"/>
          <w:kern w:val="24"/>
        </w:rPr>
        <w:t>ł</w:t>
      </w:r>
      <w:r w:rsidRPr="00474C57">
        <w:rPr>
          <w:rFonts w:ascii="Arial" w:hAnsi="Arial"/>
          <w:kern w:val="24"/>
        </w:rPr>
        <w:t xml:space="preserve"> wiarygodności okolicznościom dowodowym podniesionym przez osobę</w:t>
      </w:r>
      <w:r w:rsidR="005E321B">
        <w:rPr>
          <w:rFonts w:ascii="Arial" w:hAnsi="Arial"/>
          <w:kern w:val="24"/>
        </w:rPr>
        <w:t xml:space="preserve"> zgłaszającą roszczenie. </w:t>
      </w:r>
      <w:r w:rsidRPr="00474C57">
        <w:rPr>
          <w:rFonts w:ascii="Arial" w:hAnsi="Arial"/>
          <w:kern w:val="24"/>
        </w:rPr>
        <w:t xml:space="preserve">Pismo </w:t>
      </w:r>
      <w:r w:rsidR="005E321B">
        <w:rPr>
          <w:rFonts w:ascii="Arial" w:hAnsi="Arial"/>
          <w:kern w:val="24"/>
        </w:rPr>
        <w:t xml:space="preserve">PZU SA </w:t>
      </w:r>
      <w:r w:rsidRPr="00474C57">
        <w:rPr>
          <w:rFonts w:ascii="Arial" w:hAnsi="Arial"/>
          <w:kern w:val="24"/>
        </w:rPr>
        <w:t>powinno zawierać pouczenie o możliwości dochodzenia roszczeń na drodze sądowej.</w:t>
      </w:r>
    </w:p>
    <w:p w14:paraId="4870A552" w14:textId="77777777" w:rsidR="00D13193" w:rsidRDefault="00D13193" w:rsidP="00521F0B">
      <w:pPr>
        <w:pStyle w:val="Akapitzlist1"/>
        <w:ind w:left="426"/>
        <w:jc w:val="both"/>
        <w:rPr>
          <w:rFonts w:ascii="Arial" w:hAnsi="Arial" w:cs="Microsoft Sans Serif"/>
          <w:bCs/>
          <w:iCs/>
          <w:sz w:val="24"/>
          <w:szCs w:val="20"/>
        </w:rPr>
      </w:pPr>
    </w:p>
    <w:p w14:paraId="3B0AF42B" w14:textId="3005926A" w:rsidR="00AA4FA0" w:rsidRPr="006F1931" w:rsidRDefault="00AA4FA0" w:rsidP="00AA4FA0">
      <w:pPr>
        <w:jc w:val="center"/>
        <w:rPr>
          <w:rFonts w:ascii="Arial" w:hAnsi="Arial"/>
          <w:b/>
        </w:rPr>
      </w:pPr>
      <w:bookmarkStart w:id="4" w:name="_Hlk143162225"/>
      <w:r w:rsidRPr="006F1931">
        <w:rPr>
          <w:rFonts w:ascii="Arial" w:hAnsi="Arial"/>
          <w:b/>
        </w:rPr>
        <w:t xml:space="preserve">§ </w:t>
      </w:r>
      <w:r w:rsidR="00FE73A6">
        <w:rPr>
          <w:rFonts w:ascii="Arial" w:hAnsi="Arial"/>
          <w:b/>
        </w:rPr>
        <w:t>9</w:t>
      </w:r>
    </w:p>
    <w:p w14:paraId="07C030FE" w14:textId="77777777" w:rsidR="00C23174" w:rsidRPr="006F1931" w:rsidRDefault="00C23174" w:rsidP="00C23174">
      <w:pPr>
        <w:pStyle w:val="Akapitzlist1"/>
        <w:ind w:left="426"/>
        <w:jc w:val="center"/>
        <w:rPr>
          <w:rFonts w:ascii="Arial" w:hAnsi="Arial" w:cs="Microsoft Sans Serif"/>
          <w:b/>
          <w:bCs/>
          <w:iCs/>
          <w:sz w:val="24"/>
          <w:szCs w:val="20"/>
        </w:rPr>
      </w:pPr>
      <w:r w:rsidRPr="006F1931">
        <w:rPr>
          <w:rFonts w:ascii="Arial" w:hAnsi="Arial" w:cs="Microsoft Sans Serif"/>
          <w:b/>
          <w:bCs/>
          <w:iCs/>
          <w:sz w:val="24"/>
          <w:szCs w:val="20"/>
        </w:rPr>
        <w:t>Reklamacje, skargi i zażalenia</w:t>
      </w:r>
    </w:p>
    <w:p w14:paraId="10027494" w14:textId="77777777" w:rsidR="00AA4FA0" w:rsidRPr="006F1931" w:rsidRDefault="00AA4FA0" w:rsidP="004A13D9">
      <w:pPr>
        <w:pStyle w:val="Akapitzlist"/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6F1931">
        <w:rPr>
          <w:rFonts w:ascii="Arial" w:hAnsi="Arial" w:cs="Arial"/>
        </w:rPr>
        <w:t>Reklamację, skargę lub zażalenie składa się w każdej jednostce PZU SA obsługującej klienta.</w:t>
      </w:r>
    </w:p>
    <w:p w14:paraId="493EFD73" w14:textId="336A83D4" w:rsidR="00AA4FA0" w:rsidRPr="006F1931" w:rsidRDefault="00AA4FA0" w:rsidP="004A13D9">
      <w:pPr>
        <w:pStyle w:val="Akapitzlist"/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6F1931">
        <w:rPr>
          <w:rFonts w:ascii="Arial" w:hAnsi="Arial" w:cs="Arial"/>
        </w:rPr>
        <w:t>Reklamacja, skarga lub zażalenie mogą być złożone:</w:t>
      </w:r>
    </w:p>
    <w:p w14:paraId="653F5190" w14:textId="30B242E7" w:rsidR="006F1931" w:rsidRPr="006F1931" w:rsidRDefault="00877DDE" w:rsidP="00C0625A">
      <w:pPr>
        <w:pStyle w:val="Akapitzlist"/>
        <w:spacing w:after="200"/>
        <w:ind w:left="851" w:hanging="425"/>
        <w:contextualSpacing/>
        <w:jc w:val="both"/>
        <w:rPr>
          <w:rFonts w:ascii="Arial" w:hAnsi="Arial" w:cs="Arial"/>
        </w:rPr>
      </w:pPr>
      <w:hyperlink w:history="1"/>
      <w:r w:rsidR="006F1931" w:rsidRPr="006F1931">
        <w:rPr>
          <w:rFonts w:ascii="Arial" w:hAnsi="Arial" w:cs="Arial"/>
        </w:rPr>
        <w:t>1)</w:t>
      </w:r>
      <w:r w:rsidR="006F1931" w:rsidRPr="006F1931">
        <w:rPr>
          <w:rFonts w:ascii="Arial" w:hAnsi="Arial" w:cs="Arial"/>
        </w:rPr>
        <w:tab/>
        <w:t>na piśmie - osobiście albo wysłane przesyłką pocztową w rozumieniu ustawy Prawo pocztowe, na przykład pisząc na adres: PZU SA ul. Postępu 18A, 02-676 Warszawa (adres tylko do korespondencji);</w:t>
      </w:r>
    </w:p>
    <w:p w14:paraId="4928E963" w14:textId="77777777" w:rsidR="006F1931" w:rsidRPr="006F1931" w:rsidRDefault="006F1931" w:rsidP="00C0625A">
      <w:pPr>
        <w:pStyle w:val="Akapitzlist"/>
        <w:spacing w:after="200"/>
        <w:ind w:left="851" w:hanging="425"/>
        <w:contextualSpacing/>
        <w:jc w:val="both"/>
        <w:rPr>
          <w:rFonts w:ascii="Arial" w:hAnsi="Arial" w:cs="Arial"/>
        </w:rPr>
      </w:pPr>
      <w:r w:rsidRPr="006F1931">
        <w:rPr>
          <w:rFonts w:ascii="Arial" w:hAnsi="Arial" w:cs="Arial"/>
        </w:rPr>
        <w:t>2)</w:t>
      </w:r>
      <w:r w:rsidRPr="006F1931">
        <w:rPr>
          <w:rFonts w:ascii="Arial" w:hAnsi="Arial" w:cs="Arial"/>
        </w:rPr>
        <w:tab/>
        <w:t>na piśmie - wysłane na adres do doręczeń elektronicznych PZU SA w rozumieniu ustawy o doręczeniach elektronicznych, począwszy od dnia wpisania tego adresu do bazy adresów elektronicznych;</w:t>
      </w:r>
    </w:p>
    <w:p w14:paraId="418E6045" w14:textId="77777777" w:rsidR="006F1931" w:rsidRPr="006F1931" w:rsidRDefault="006F1931" w:rsidP="00C0625A">
      <w:pPr>
        <w:pStyle w:val="Akapitzlist"/>
        <w:spacing w:after="200"/>
        <w:ind w:left="851" w:hanging="425"/>
        <w:contextualSpacing/>
        <w:jc w:val="both"/>
        <w:rPr>
          <w:rFonts w:ascii="Arial" w:hAnsi="Arial" w:cs="Arial"/>
        </w:rPr>
      </w:pPr>
      <w:r w:rsidRPr="006F1931">
        <w:rPr>
          <w:rFonts w:ascii="Arial" w:hAnsi="Arial" w:cs="Arial"/>
        </w:rPr>
        <w:t>3)</w:t>
      </w:r>
      <w:r w:rsidRPr="006F1931">
        <w:rPr>
          <w:rFonts w:ascii="Arial" w:hAnsi="Arial" w:cs="Arial"/>
        </w:rPr>
        <w:tab/>
        <w:t>w formie ustnej – telefonicznie, na przykład dzwoniąc pod numer infolinii 801-102-102, albo osobiście do protokołu podczas wizyty w jednostce, o której mowa w ust. 1;</w:t>
      </w:r>
    </w:p>
    <w:p w14:paraId="0E2B5D71" w14:textId="0E1000B9" w:rsidR="006F1931" w:rsidRPr="00335624" w:rsidRDefault="006F1931" w:rsidP="00C0625A">
      <w:pPr>
        <w:pStyle w:val="Akapitzlist"/>
        <w:spacing w:after="200"/>
        <w:ind w:left="851" w:hanging="425"/>
        <w:contextualSpacing/>
        <w:jc w:val="both"/>
        <w:rPr>
          <w:rFonts w:ascii="Arial" w:hAnsi="Arial" w:cs="Arial"/>
          <w:highlight w:val="yellow"/>
        </w:rPr>
      </w:pPr>
      <w:r w:rsidRPr="006F1931">
        <w:rPr>
          <w:rFonts w:ascii="Arial" w:hAnsi="Arial" w:cs="Arial"/>
        </w:rPr>
        <w:t>4)</w:t>
      </w:r>
      <w:r w:rsidRPr="006F1931">
        <w:rPr>
          <w:rFonts w:ascii="Arial" w:hAnsi="Arial" w:cs="Arial"/>
        </w:rPr>
        <w:tab/>
        <w:t xml:space="preserve">w postaci elektronicznej – wysyłając e-mail na adres reklamacje@pzu.pl lub wypełniając formularz na www.pzu.pl.   </w:t>
      </w:r>
    </w:p>
    <w:p w14:paraId="2B4BFA71" w14:textId="77777777" w:rsidR="00AA4FA0" w:rsidRPr="00165146" w:rsidRDefault="00AA4FA0" w:rsidP="004A13D9">
      <w:pPr>
        <w:pStyle w:val="Akapitzlist"/>
        <w:numPr>
          <w:ilvl w:val="0"/>
          <w:numId w:val="4"/>
        </w:numPr>
        <w:tabs>
          <w:tab w:val="left" w:pos="426"/>
        </w:tabs>
        <w:spacing w:after="200"/>
        <w:ind w:left="567" w:hanging="567"/>
        <w:contextualSpacing/>
        <w:jc w:val="both"/>
        <w:rPr>
          <w:rFonts w:ascii="Arial" w:hAnsi="Arial" w:cs="Arial"/>
        </w:rPr>
      </w:pPr>
      <w:r w:rsidRPr="00165146">
        <w:rPr>
          <w:rFonts w:ascii="Arial" w:hAnsi="Arial" w:cs="Arial"/>
        </w:rPr>
        <w:t>PZU SA rozpatruje reklamację, skargę lub zażalenie i udziela na nie odpowiedzi,</w:t>
      </w:r>
    </w:p>
    <w:p w14:paraId="74F88048" w14:textId="77777777" w:rsidR="00AA4FA0" w:rsidRPr="00165146" w:rsidRDefault="00AA4FA0" w:rsidP="00C0625A">
      <w:pPr>
        <w:pStyle w:val="Akapitzlist"/>
        <w:tabs>
          <w:tab w:val="left" w:pos="426"/>
        </w:tabs>
        <w:spacing w:after="200"/>
        <w:ind w:left="567" w:hanging="141"/>
        <w:contextualSpacing/>
        <w:jc w:val="both"/>
        <w:rPr>
          <w:rFonts w:ascii="Arial" w:hAnsi="Arial" w:cs="Arial"/>
        </w:rPr>
      </w:pPr>
      <w:r w:rsidRPr="00165146">
        <w:rPr>
          <w:rFonts w:ascii="Arial" w:hAnsi="Arial" w:cs="Arial"/>
        </w:rPr>
        <w:t>bez zbędnej zwłoki, jednak nie później niż w terminie 30 dni od dnia ich</w:t>
      </w:r>
    </w:p>
    <w:p w14:paraId="2D4C09F1" w14:textId="48407E34" w:rsidR="00AA4FA0" w:rsidRPr="00165146" w:rsidRDefault="00AA4FA0" w:rsidP="00C0625A">
      <w:pPr>
        <w:pStyle w:val="Akapitzlist"/>
        <w:tabs>
          <w:tab w:val="left" w:pos="426"/>
        </w:tabs>
        <w:spacing w:after="200"/>
        <w:ind w:left="567" w:hanging="141"/>
        <w:contextualSpacing/>
        <w:jc w:val="both"/>
        <w:rPr>
          <w:rFonts w:ascii="Arial" w:hAnsi="Arial" w:cs="Arial"/>
        </w:rPr>
      </w:pPr>
      <w:r w:rsidRPr="00165146">
        <w:rPr>
          <w:rFonts w:ascii="Arial" w:hAnsi="Arial" w:cs="Arial"/>
        </w:rPr>
        <w:t>otrzymania, z zastrzeżeniem ust. 4.</w:t>
      </w:r>
    </w:p>
    <w:p w14:paraId="59262922" w14:textId="77777777" w:rsidR="00AA4FA0" w:rsidRPr="00165146" w:rsidRDefault="00AA4FA0" w:rsidP="004A13D9">
      <w:pPr>
        <w:pStyle w:val="Akapitzlist"/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165146">
        <w:rPr>
          <w:rFonts w:ascii="Arial" w:hAnsi="Arial" w:cs="Arial"/>
        </w:rPr>
        <w:t>W szczególnie skomplikowanych przypadkach, uniemożliwiających rozpatrzenie reklamacji, skargi lub zażalenia i udzielenie odpowiedzi w terminie, o którym mowa w ust. 3, PZU SA przekazuje osobie, która złożyła reklamację, skargę lub zażalenie informację, w której:</w:t>
      </w:r>
    </w:p>
    <w:p w14:paraId="2804DB3D" w14:textId="77777777" w:rsidR="00AA4FA0" w:rsidRPr="00165146" w:rsidRDefault="00AA4FA0" w:rsidP="004A13D9">
      <w:pPr>
        <w:pStyle w:val="Akapitzlist"/>
        <w:numPr>
          <w:ilvl w:val="1"/>
          <w:numId w:val="4"/>
        </w:numPr>
        <w:spacing w:after="200"/>
        <w:ind w:left="851" w:hanging="425"/>
        <w:contextualSpacing/>
        <w:jc w:val="both"/>
        <w:rPr>
          <w:rFonts w:ascii="Arial" w:hAnsi="Arial" w:cs="Arial"/>
        </w:rPr>
      </w:pPr>
      <w:r w:rsidRPr="00165146">
        <w:rPr>
          <w:rFonts w:ascii="Arial" w:hAnsi="Arial" w:cs="Arial"/>
        </w:rPr>
        <w:t>wyjaśnia przyczynę opóźnienia;</w:t>
      </w:r>
    </w:p>
    <w:p w14:paraId="5D5B7D7D" w14:textId="77777777" w:rsidR="00AA4FA0" w:rsidRPr="00165146" w:rsidRDefault="00AA4FA0" w:rsidP="004A13D9">
      <w:pPr>
        <w:pStyle w:val="Akapitzlist"/>
        <w:numPr>
          <w:ilvl w:val="1"/>
          <w:numId w:val="4"/>
        </w:numPr>
        <w:spacing w:after="200"/>
        <w:ind w:left="851" w:hanging="425"/>
        <w:contextualSpacing/>
        <w:jc w:val="both"/>
        <w:rPr>
          <w:rFonts w:ascii="Arial" w:hAnsi="Arial" w:cs="Arial"/>
        </w:rPr>
      </w:pPr>
      <w:r w:rsidRPr="00165146">
        <w:rPr>
          <w:rFonts w:ascii="Arial" w:hAnsi="Arial" w:cs="Arial"/>
        </w:rPr>
        <w:t>wskazuje okoliczności, które muszą zostać ustalone dla rozpatrzenia sprawy;</w:t>
      </w:r>
    </w:p>
    <w:p w14:paraId="19EA0572" w14:textId="77777777" w:rsidR="00AA4FA0" w:rsidRPr="00165146" w:rsidRDefault="00AA4FA0" w:rsidP="004A13D9">
      <w:pPr>
        <w:pStyle w:val="Akapitzlist"/>
        <w:numPr>
          <w:ilvl w:val="1"/>
          <w:numId w:val="4"/>
        </w:numPr>
        <w:spacing w:after="200"/>
        <w:ind w:left="851" w:hanging="425"/>
        <w:contextualSpacing/>
        <w:jc w:val="both"/>
        <w:rPr>
          <w:rFonts w:ascii="Arial" w:hAnsi="Arial" w:cs="Arial"/>
        </w:rPr>
      </w:pPr>
      <w:r w:rsidRPr="00165146">
        <w:rPr>
          <w:rFonts w:ascii="Arial" w:hAnsi="Arial" w:cs="Arial"/>
        </w:rPr>
        <w:t>określa przewidywany termin rozpatrzenia reklamacji, skargi lub zażalenia i udzielenia odpowiedzi, który nie może przekroczyć 60 dni od dnia otrzymania reklamacji, skargi lub zażalenia.</w:t>
      </w:r>
    </w:p>
    <w:p w14:paraId="1454A8FA" w14:textId="41BD6864" w:rsidR="00445396" w:rsidRPr="00335624" w:rsidRDefault="00AA4FA0" w:rsidP="004A13D9">
      <w:pPr>
        <w:pStyle w:val="Akapitzlist"/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445396">
        <w:rPr>
          <w:rFonts w:ascii="Arial" w:hAnsi="Arial" w:cs="Arial"/>
        </w:rPr>
        <w:t>Odpowiedź PZU SA na reklamację, skargę lub zażalenie zostanie dostarczona osobie, która je złożyła</w:t>
      </w:r>
      <w:r w:rsidR="00445396" w:rsidRPr="00335624">
        <w:rPr>
          <w:rFonts w:ascii="Arial" w:hAnsi="Arial" w:cs="Arial"/>
        </w:rPr>
        <w:t>:</w:t>
      </w:r>
    </w:p>
    <w:p w14:paraId="49673DCB" w14:textId="77777777" w:rsidR="00445396" w:rsidRPr="00445396" w:rsidRDefault="00445396" w:rsidP="00C0625A">
      <w:pPr>
        <w:pStyle w:val="Akapitzlist"/>
        <w:spacing w:after="200"/>
        <w:ind w:left="426"/>
        <w:contextualSpacing/>
        <w:jc w:val="both"/>
        <w:rPr>
          <w:rFonts w:ascii="Arial" w:hAnsi="Arial" w:cs="Arial"/>
        </w:rPr>
      </w:pPr>
      <w:r w:rsidRPr="00445396">
        <w:rPr>
          <w:rFonts w:ascii="Arial" w:hAnsi="Arial" w:cs="Arial"/>
        </w:rPr>
        <w:t>1)</w:t>
      </w:r>
      <w:r w:rsidRPr="00445396">
        <w:rPr>
          <w:rFonts w:ascii="Arial" w:hAnsi="Arial" w:cs="Arial"/>
        </w:rPr>
        <w:tab/>
        <w:t>w przypadku, gdy klientem jest osoba fizyczna – na piśmie, z tym że odpowiedź można dostarczyć pocztą elektroniczną wyłącznie na wniosek klienta;</w:t>
      </w:r>
    </w:p>
    <w:p w14:paraId="3F43A5CE" w14:textId="18BA62C0" w:rsidR="00445396" w:rsidRPr="00335624" w:rsidRDefault="00445396" w:rsidP="00C0625A">
      <w:pPr>
        <w:pStyle w:val="Akapitzlist"/>
        <w:spacing w:after="200"/>
        <w:ind w:left="426"/>
        <w:contextualSpacing/>
        <w:jc w:val="both"/>
        <w:rPr>
          <w:rFonts w:ascii="Arial" w:hAnsi="Arial" w:cs="Arial"/>
        </w:rPr>
      </w:pPr>
      <w:r w:rsidRPr="00335624">
        <w:rPr>
          <w:rFonts w:ascii="Arial" w:hAnsi="Arial" w:cs="Arial"/>
        </w:rPr>
        <w:t>2)</w:t>
      </w:r>
      <w:r w:rsidRPr="00335624">
        <w:rPr>
          <w:rFonts w:ascii="Arial" w:hAnsi="Arial" w:cs="Arial"/>
        </w:rPr>
        <w:tab/>
        <w:t>w przypadku, gdy klientem jest inny podmiot niż wskazany w pkt 1 – na piśmie lub za pomocą innego trwałego nośnika informacji.</w:t>
      </w:r>
    </w:p>
    <w:p w14:paraId="3B6A22A1" w14:textId="77777777" w:rsidR="00AA4FA0" w:rsidRPr="008B5752" w:rsidRDefault="00AA4FA0" w:rsidP="004A13D9">
      <w:pPr>
        <w:pStyle w:val="Akapitzlist"/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8B5752">
        <w:rPr>
          <w:rFonts w:ascii="Arial" w:hAnsi="Arial" w:cs="Arial"/>
        </w:rPr>
        <w:lastRenderedPageBreak/>
        <w:t>Osobie fizycznej, która złożyła reklamację przysługuje prawo wniesienia do Rzecznika Finansowego wniosku dotyczącego:</w:t>
      </w:r>
    </w:p>
    <w:p w14:paraId="71BF4650" w14:textId="77777777" w:rsidR="00AA4FA0" w:rsidRPr="008B5752" w:rsidRDefault="00AA4FA0" w:rsidP="004A13D9">
      <w:pPr>
        <w:pStyle w:val="Akapitzlist"/>
        <w:numPr>
          <w:ilvl w:val="1"/>
          <w:numId w:val="4"/>
        </w:numPr>
        <w:spacing w:after="200"/>
        <w:ind w:left="709" w:hanging="283"/>
        <w:contextualSpacing/>
        <w:jc w:val="both"/>
        <w:rPr>
          <w:rFonts w:ascii="Arial" w:hAnsi="Arial" w:cs="Arial"/>
        </w:rPr>
      </w:pPr>
      <w:r w:rsidRPr="008B5752">
        <w:rPr>
          <w:rFonts w:ascii="Arial" w:hAnsi="Arial" w:cs="Arial"/>
        </w:rPr>
        <w:t>nieuwzględnienia roszczeń w trybie rozpatrywania reklamacji;</w:t>
      </w:r>
    </w:p>
    <w:p w14:paraId="51F9645F" w14:textId="77777777" w:rsidR="00AA4FA0" w:rsidRPr="008B5752" w:rsidRDefault="00AA4FA0" w:rsidP="004A13D9">
      <w:pPr>
        <w:pStyle w:val="Akapitzlist"/>
        <w:numPr>
          <w:ilvl w:val="1"/>
          <w:numId w:val="4"/>
        </w:numPr>
        <w:spacing w:after="200"/>
        <w:ind w:left="709" w:hanging="283"/>
        <w:contextualSpacing/>
        <w:jc w:val="both"/>
        <w:rPr>
          <w:rFonts w:ascii="Arial" w:hAnsi="Arial" w:cs="Arial"/>
        </w:rPr>
      </w:pPr>
      <w:r w:rsidRPr="008B5752">
        <w:rPr>
          <w:rFonts w:ascii="Arial" w:hAnsi="Arial" w:cs="Arial"/>
        </w:rPr>
        <w:t>niewykonania czynności wynikających z reklamacji rozpatrzonej zgodnie z wolą tej osoby w terminie określonym w odpowiedzi na tę reklamację.</w:t>
      </w:r>
    </w:p>
    <w:p w14:paraId="678C6D59" w14:textId="77777777" w:rsidR="00AA4FA0" w:rsidRPr="008B5752" w:rsidRDefault="00AA4FA0" w:rsidP="004A13D9">
      <w:pPr>
        <w:pStyle w:val="Akapitzlist"/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8B5752">
        <w:rPr>
          <w:rFonts w:ascii="Arial" w:hAnsi="Arial" w:cs="Arial"/>
        </w:rPr>
        <w:t xml:space="preserve">Reklamacje, skargi i zażalenia rozpatrywane są przez jednostki organizacyjne PZU SA, które są właściwe ze względu na przedmiot sprawy. </w:t>
      </w:r>
    </w:p>
    <w:p w14:paraId="114BCB33" w14:textId="117A12F6" w:rsidR="00AA4FA0" w:rsidRPr="008B5752" w:rsidRDefault="00AA4FA0" w:rsidP="004A13D9">
      <w:pPr>
        <w:pStyle w:val="Akapitzlist"/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8B5752">
        <w:rPr>
          <w:rFonts w:ascii="Arial" w:hAnsi="Arial" w:cs="Arial"/>
        </w:rPr>
        <w:t>Reklamacje uregulowane są w ustawie o rozpatrywaniu reklamacji przez podmioty rynku finansowego</w:t>
      </w:r>
      <w:r w:rsidR="00445396" w:rsidRPr="00335624">
        <w:rPr>
          <w:rFonts w:ascii="Arial" w:hAnsi="Arial" w:cs="Arial"/>
        </w:rPr>
        <w:t>,</w:t>
      </w:r>
      <w:r w:rsidRPr="008B5752">
        <w:rPr>
          <w:rFonts w:ascii="Arial" w:hAnsi="Arial" w:cs="Arial"/>
        </w:rPr>
        <w:t xml:space="preserve"> o Rzeczniku Finansowym </w:t>
      </w:r>
      <w:r w:rsidR="00445396" w:rsidRPr="008B5752">
        <w:rPr>
          <w:rFonts w:ascii="Arial" w:hAnsi="Arial" w:cs="Arial"/>
        </w:rPr>
        <w:t xml:space="preserve">i o Funduszu Edukacji Finansowej  </w:t>
      </w:r>
      <w:r w:rsidRPr="008B5752">
        <w:rPr>
          <w:rFonts w:ascii="Arial" w:hAnsi="Arial" w:cs="Arial"/>
        </w:rPr>
        <w:t>oraz w ustawie o dystrybucji ubezpieczeń.</w:t>
      </w:r>
    </w:p>
    <w:p w14:paraId="23BF0B2B" w14:textId="77777777" w:rsidR="00AA4FA0" w:rsidRPr="008B5752" w:rsidRDefault="00AA4FA0" w:rsidP="004A13D9">
      <w:pPr>
        <w:pStyle w:val="Akapitzlist"/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8B5752">
        <w:rPr>
          <w:rFonts w:ascii="Arial" w:hAnsi="Arial" w:cs="Arial"/>
        </w:rPr>
        <w:t>PZU SA przewiduje możliwość pozasądowego rozwiązywania sporów.</w:t>
      </w:r>
    </w:p>
    <w:p w14:paraId="731C2777" w14:textId="77777777" w:rsidR="00AA4FA0" w:rsidRPr="00335624" w:rsidRDefault="00AA4FA0" w:rsidP="004A13D9">
      <w:pPr>
        <w:pStyle w:val="Akapitzlist"/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8B5752">
        <w:rPr>
          <w:rFonts w:ascii="Arial" w:hAnsi="Arial" w:cs="Arial"/>
        </w:rPr>
        <w:t xml:space="preserve">Podmiotem uprawnionym w rozumieniu ustawy o pozasądowym rozpatrywaniu </w:t>
      </w:r>
      <w:r w:rsidRPr="00335624">
        <w:rPr>
          <w:rFonts w:ascii="Arial" w:hAnsi="Arial" w:cs="Arial"/>
        </w:rPr>
        <w:t>sporów konsumenckich, właściwym dla PZU SA do pozasądowego rozpatrywania sporów, jest Rzecznik Finansowy, którego adres strony internetowej jest następujący: www.rf.gov.pl.</w:t>
      </w:r>
    </w:p>
    <w:p w14:paraId="1A22FEF0" w14:textId="1C68F0E3" w:rsidR="00AA4FA0" w:rsidRPr="00335624" w:rsidRDefault="00335624" w:rsidP="004A13D9">
      <w:pPr>
        <w:pStyle w:val="Akapitzlist"/>
        <w:numPr>
          <w:ilvl w:val="0"/>
          <w:numId w:val="4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A4FA0" w:rsidRPr="00335624">
        <w:rPr>
          <w:rFonts w:ascii="Arial" w:hAnsi="Arial" w:cs="Arial"/>
        </w:rPr>
        <w:t>bezpieczonemu i uprawnionemu z umowy ubezpieczenia, będącemu konsumentem, przysługuje prawo zwrócenia się o pomoc do Miejskich i Powiatowych Rzeczników Konsumenta.</w:t>
      </w:r>
    </w:p>
    <w:p w14:paraId="4B9AF6A8" w14:textId="77777777" w:rsidR="00AA4FA0" w:rsidRPr="00335624" w:rsidRDefault="00AA4FA0" w:rsidP="004A13D9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1F5552">
        <w:rPr>
          <w:rFonts w:ascii="Arial" w:hAnsi="Arial" w:cs="Arial"/>
        </w:rPr>
        <w:t xml:space="preserve">W przypadku umowy zawieranej za pośrednictwem Internetu, </w:t>
      </w:r>
      <w:r w:rsidRPr="00335624">
        <w:rPr>
          <w:rFonts w:ascii="Arial" w:hAnsi="Arial" w:cs="Arial"/>
        </w:rPr>
        <w:t>konsument ma prawo skorzyst</w:t>
      </w:r>
      <w:r w:rsidRPr="001F5552">
        <w:rPr>
          <w:rFonts w:ascii="Arial" w:hAnsi="Arial" w:cs="Arial"/>
        </w:rPr>
        <w:t xml:space="preserve">ać z pozasądowego sposobu rozstrzygania sporów i złożyć skargę za pośrednictwem platformy internetowego systemu rozstrzygania sporów (Platforma ODR) zgodnie z Rozporządzeniem Parlamentu Europejskiego i Rady nr 524/2013 z dnia 21 maja 2013 r. - adres: </w:t>
      </w:r>
      <w:hyperlink r:id="rId8" w:history="1">
        <w:r w:rsidRPr="00335624">
          <w:rPr>
            <w:rStyle w:val="Hipercze"/>
            <w:rFonts w:ascii="Arial" w:hAnsi="Arial" w:cs="Arial"/>
          </w:rPr>
          <w:t>http://ec.europa.eu/consumers/odr/</w:t>
        </w:r>
      </w:hyperlink>
      <w:r w:rsidRPr="00335624">
        <w:rPr>
          <w:rFonts w:ascii="Arial" w:hAnsi="Arial" w:cs="Arial"/>
        </w:rPr>
        <w:t xml:space="preserve">. Za działanie Platformy ODR odpowiada Komisja Europejska. Adres poczty elektronicznej do kontaktu z PZU SA to: </w:t>
      </w:r>
      <w:hyperlink r:id="rId9" w:history="1">
        <w:r w:rsidRPr="00335624">
          <w:rPr>
            <w:rStyle w:val="Hipercze"/>
            <w:rFonts w:ascii="Arial" w:hAnsi="Arial" w:cs="Arial"/>
          </w:rPr>
          <w:t>reklamacje@pzu.pl</w:t>
        </w:r>
      </w:hyperlink>
      <w:r w:rsidRPr="00335624">
        <w:rPr>
          <w:rFonts w:ascii="Arial" w:hAnsi="Arial" w:cs="Arial"/>
        </w:rPr>
        <w:t>.</w:t>
      </w:r>
    </w:p>
    <w:p w14:paraId="12F57116" w14:textId="77777777" w:rsidR="00AA4FA0" w:rsidRPr="00335624" w:rsidRDefault="00AA4FA0" w:rsidP="004A13D9">
      <w:pPr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335624">
        <w:rPr>
          <w:rFonts w:ascii="Arial" w:hAnsi="Arial" w:cs="Arial"/>
        </w:rPr>
        <w:t>Językiem stosowanym przez PZU SA w relacjach z konsumentem jest język polski.</w:t>
      </w:r>
    </w:p>
    <w:p w14:paraId="6D001B9A" w14:textId="77777777" w:rsidR="00AA4FA0" w:rsidRPr="008B5752" w:rsidRDefault="00AA4FA0" w:rsidP="004A13D9">
      <w:pPr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8B5752">
        <w:rPr>
          <w:rFonts w:ascii="Arial" w:hAnsi="Arial" w:cs="Arial"/>
        </w:rPr>
        <w:t>PZU SA podlega nadzorowi Komisji Nadzoru Finansowego.</w:t>
      </w:r>
    </w:p>
    <w:p w14:paraId="7EEC9625" w14:textId="408AB0DD" w:rsidR="00BC4098" w:rsidRDefault="00BC4098" w:rsidP="00BC4098">
      <w:pPr>
        <w:jc w:val="center"/>
        <w:rPr>
          <w:rFonts w:ascii="Arial" w:hAnsi="Arial"/>
          <w:b/>
          <w:bCs/>
          <w:iCs/>
        </w:rPr>
      </w:pPr>
    </w:p>
    <w:p w14:paraId="3C0C2EF5" w14:textId="50CDB6D9" w:rsidR="00BC4098" w:rsidRDefault="00BC4098" w:rsidP="00BC4098">
      <w:pPr>
        <w:jc w:val="center"/>
        <w:rPr>
          <w:rFonts w:ascii="Arial" w:hAnsi="Arial"/>
          <w:b/>
          <w:bCs/>
          <w:iCs/>
        </w:rPr>
      </w:pPr>
      <w:bookmarkStart w:id="5" w:name="_Hlk139966622"/>
      <w:r w:rsidRPr="00335624">
        <w:rPr>
          <w:rFonts w:ascii="Arial" w:hAnsi="Arial"/>
          <w:b/>
          <w:bCs/>
          <w:iCs/>
        </w:rPr>
        <w:t>§ 10</w:t>
      </w:r>
    </w:p>
    <w:p w14:paraId="1C6F8E87" w14:textId="01AFD010" w:rsidR="00BC4098" w:rsidRPr="00335624" w:rsidRDefault="00BC4098" w:rsidP="00335624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Właściwość sądu</w:t>
      </w:r>
    </w:p>
    <w:p w14:paraId="4F64AB0F" w14:textId="072E7F93" w:rsidR="00BC4098" w:rsidRPr="00335624" w:rsidRDefault="00BC4098" w:rsidP="005A4781">
      <w:pPr>
        <w:ind w:left="426" w:hanging="426"/>
        <w:jc w:val="both"/>
        <w:rPr>
          <w:rFonts w:ascii="Arial" w:hAnsi="Arial"/>
          <w:iCs/>
        </w:rPr>
      </w:pPr>
      <w:r w:rsidRPr="00335624">
        <w:rPr>
          <w:rFonts w:ascii="Arial" w:hAnsi="Arial"/>
          <w:iCs/>
        </w:rPr>
        <w:t>1.</w:t>
      </w:r>
      <w:r w:rsidRPr="00335624">
        <w:rPr>
          <w:rFonts w:ascii="Arial" w:hAnsi="Arial"/>
          <w:iCs/>
        </w:rPr>
        <w:tab/>
        <w:t xml:space="preserve">Powództwo o roszczenie wynikające z Umowy </w:t>
      </w:r>
      <w:r w:rsidR="00987078" w:rsidRPr="00987078">
        <w:rPr>
          <w:rFonts w:ascii="Arial" w:hAnsi="Arial"/>
          <w:iCs/>
        </w:rPr>
        <w:t xml:space="preserve">obowiązkowego ubezpieczenia OC </w:t>
      </w:r>
      <w:r w:rsidR="0064097A">
        <w:rPr>
          <w:rFonts w:ascii="Arial" w:hAnsi="Arial"/>
          <w:iCs/>
        </w:rPr>
        <w:t>architekta</w:t>
      </w:r>
      <w:r w:rsidR="00987078" w:rsidRPr="00987078">
        <w:rPr>
          <w:rFonts w:ascii="Arial" w:hAnsi="Arial"/>
          <w:iCs/>
        </w:rPr>
        <w:t xml:space="preserve">, </w:t>
      </w:r>
      <w:r w:rsidRPr="00335624">
        <w:rPr>
          <w:rFonts w:ascii="Arial" w:hAnsi="Arial"/>
          <w:iCs/>
        </w:rPr>
        <w:t>można wytoczyć według przepisów o</w:t>
      </w:r>
      <w:r w:rsidR="00987078">
        <w:rPr>
          <w:rFonts w:ascii="Arial" w:hAnsi="Arial"/>
          <w:iCs/>
        </w:rPr>
        <w:t> </w:t>
      </w:r>
      <w:r w:rsidRPr="00335624">
        <w:rPr>
          <w:rFonts w:ascii="Arial" w:hAnsi="Arial"/>
          <w:iCs/>
        </w:rPr>
        <w:t>właściwości ogólnej albo przed sąd właściwy dla miejsca zamieszkania Ubezpieczonego lub uprawnionego z tej umowy.</w:t>
      </w:r>
    </w:p>
    <w:p w14:paraId="45789296" w14:textId="2DA5F4E9" w:rsidR="00AA4FA0" w:rsidRPr="00335624" w:rsidRDefault="00BC4098" w:rsidP="005A4781">
      <w:pPr>
        <w:ind w:left="426" w:hanging="426"/>
        <w:jc w:val="both"/>
        <w:rPr>
          <w:rFonts w:ascii="Arial" w:hAnsi="Arial"/>
          <w:iCs/>
        </w:rPr>
      </w:pPr>
      <w:r w:rsidRPr="00335624">
        <w:rPr>
          <w:rFonts w:ascii="Arial" w:hAnsi="Arial"/>
          <w:iCs/>
        </w:rPr>
        <w:t>2.</w:t>
      </w:r>
      <w:r w:rsidRPr="00335624">
        <w:rPr>
          <w:rFonts w:ascii="Arial" w:hAnsi="Arial"/>
          <w:iCs/>
        </w:rPr>
        <w:tab/>
        <w:t xml:space="preserve">Powództwo o roszczenie wynikające z Umowy </w:t>
      </w:r>
      <w:r w:rsidR="00987078" w:rsidRPr="00987078">
        <w:rPr>
          <w:rFonts w:ascii="Arial" w:hAnsi="Arial"/>
          <w:iCs/>
        </w:rPr>
        <w:t xml:space="preserve">obowiązkowego ubezpieczenia OC </w:t>
      </w:r>
      <w:r w:rsidR="00C16B23">
        <w:rPr>
          <w:rFonts w:ascii="Arial" w:hAnsi="Arial"/>
          <w:iCs/>
        </w:rPr>
        <w:t>architekta</w:t>
      </w:r>
      <w:r w:rsidR="00987078" w:rsidRPr="00987078">
        <w:rPr>
          <w:rFonts w:ascii="Arial" w:hAnsi="Arial"/>
          <w:iCs/>
        </w:rPr>
        <w:t xml:space="preserve"> </w:t>
      </w:r>
      <w:r w:rsidRPr="00335624">
        <w:rPr>
          <w:rFonts w:ascii="Arial" w:hAnsi="Arial"/>
          <w:iCs/>
        </w:rPr>
        <w:t>można wytoczyć według przepisów o</w:t>
      </w:r>
      <w:r w:rsidR="001C5A8E">
        <w:rPr>
          <w:rFonts w:ascii="Arial" w:hAnsi="Arial"/>
          <w:iCs/>
        </w:rPr>
        <w:t> </w:t>
      </w:r>
      <w:r w:rsidRPr="00335624">
        <w:rPr>
          <w:rFonts w:ascii="Arial" w:hAnsi="Arial"/>
          <w:iCs/>
        </w:rPr>
        <w:t>właściwości ogólnej albo przed sąd właściwy dla miejsca zamieszkania spadkobiercy Ubezpieczonego lub spadkobiercy uprawnionego z tej umowy.</w:t>
      </w:r>
    </w:p>
    <w:bookmarkEnd w:id="4"/>
    <w:p w14:paraId="0BE1B617" w14:textId="1A1E12DE" w:rsidR="005A4781" w:rsidRDefault="005A4781" w:rsidP="00335624">
      <w:pPr>
        <w:jc w:val="center"/>
        <w:rPr>
          <w:rFonts w:ascii="Arial" w:hAnsi="Arial"/>
          <w:b/>
          <w:bCs/>
          <w:iCs/>
        </w:rPr>
      </w:pPr>
    </w:p>
    <w:p w14:paraId="61566D79" w14:textId="77777777" w:rsidR="00C50DFC" w:rsidRDefault="00C50DFC" w:rsidP="008C03B2">
      <w:pPr>
        <w:pStyle w:val="Tekstpodstawowy"/>
        <w:jc w:val="center"/>
        <w:rPr>
          <w:rFonts w:ascii="Arial" w:hAnsi="Arial"/>
          <w:b/>
          <w:bCs/>
        </w:rPr>
      </w:pPr>
      <w:r w:rsidRPr="000F6A3E">
        <w:rPr>
          <w:rFonts w:ascii="Arial" w:hAnsi="Arial"/>
          <w:b/>
          <w:bCs/>
        </w:rPr>
        <w:t>UBEZPIECZENI</w:t>
      </w:r>
      <w:r>
        <w:rPr>
          <w:rFonts w:ascii="Arial" w:hAnsi="Arial"/>
          <w:b/>
          <w:bCs/>
        </w:rPr>
        <w:t>A</w:t>
      </w:r>
      <w:r w:rsidRPr="000F6A3E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DODATKOWE</w:t>
      </w:r>
    </w:p>
    <w:p w14:paraId="71D4259B" w14:textId="77777777" w:rsidR="000F6A3E" w:rsidRDefault="000F6A3E" w:rsidP="008C03B2">
      <w:pPr>
        <w:pStyle w:val="Tekstpodstawowy"/>
        <w:jc w:val="center"/>
        <w:rPr>
          <w:rFonts w:ascii="Arial" w:hAnsi="Arial"/>
          <w:b/>
          <w:szCs w:val="22"/>
        </w:rPr>
      </w:pPr>
    </w:p>
    <w:p w14:paraId="78D160AC" w14:textId="7299256D" w:rsidR="00195B2C" w:rsidRPr="008C03B2" w:rsidRDefault="00C16B23" w:rsidP="008C03B2">
      <w:pPr>
        <w:tabs>
          <w:tab w:val="left" w:pos="426"/>
        </w:tabs>
        <w:jc w:val="center"/>
        <w:rPr>
          <w:rFonts w:ascii="Arial" w:hAnsi="Arial" w:cs="Arial"/>
          <w:b/>
          <w:bCs/>
          <w:szCs w:val="22"/>
        </w:rPr>
      </w:pPr>
      <w:r w:rsidRPr="008C03B2">
        <w:rPr>
          <w:rFonts w:ascii="Arial" w:hAnsi="Arial" w:cs="Arial"/>
          <w:b/>
          <w:bCs/>
          <w:szCs w:val="22"/>
        </w:rPr>
        <w:t>OC w życiu prywatnym</w:t>
      </w:r>
    </w:p>
    <w:p w14:paraId="50F8CD36" w14:textId="3A9F580E" w:rsidR="00C0625A" w:rsidRPr="00C0625A" w:rsidRDefault="00C0625A" w:rsidP="008C03B2">
      <w:pPr>
        <w:jc w:val="center"/>
        <w:rPr>
          <w:rFonts w:ascii="Arial" w:hAnsi="Arial"/>
          <w:b/>
          <w:szCs w:val="22"/>
        </w:rPr>
      </w:pPr>
      <w:r w:rsidRPr="00C0625A">
        <w:rPr>
          <w:rFonts w:ascii="Arial" w:hAnsi="Arial"/>
          <w:b/>
          <w:szCs w:val="22"/>
        </w:rPr>
        <w:t xml:space="preserve">Przedmiot i zakres ochrony ubezpieczeniowej ubezpieczenia odpowiedzialności cywilnej </w:t>
      </w:r>
      <w:r w:rsidR="00E66F69">
        <w:rPr>
          <w:rFonts w:ascii="Arial" w:hAnsi="Arial"/>
          <w:b/>
          <w:szCs w:val="22"/>
        </w:rPr>
        <w:t>osób fizycznych w życiu prywatnym</w:t>
      </w:r>
    </w:p>
    <w:p w14:paraId="73E579E3" w14:textId="5F6C36A2" w:rsidR="00C0625A" w:rsidRDefault="00C0625A" w:rsidP="00C0625A">
      <w:pPr>
        <w:jc w:val="center"/>
        <w:rPr>
          <w:rFonts w:ascii="Arial" w:hAnsi="Arial"/>
          <w:b/>
          <w:szCs w:val="22"/>
        </w:rPr>
      </w:pPr>
      <w:r w:rsidRPr="00C0625A">
        <w:rPr>
          <w:rFonts w:ascii="Arial" w:hAnsi="Arial"/>
          <w:b/>
          <w:szCs w:val="22"/>
        </w:rPr>
        <w:t>§ 1</w:t>
      </w:r>
      <w:r w:rsidR="002F45CC">
        <w:rPr>
          <w:rFonts w:ascii="Arial" w:hAnsi="Arial"/>
          <w:b/>
          <w:szCs w:val="22"/>
        </w:rPr>
        <w:t>1</w:t>
      </w:r>
    </w:p>
    <w:p w14:paraId="5578BB65" w14:textId="77777777" w:rsidR="002F45CC" w:rsidRPr="00C0625A" w:rsidRDefault="002F45CC" w:rsidP="00C0625A">
      <w:pPr>
        <w:jc w:val="center"/>
        <w:rPr>
          <w:rFonts w:ascii="Arial" w:hAnsi="Arial"/>
          <w:b/>
          <w:szCs w:val="22"/>
        </w:rPr>
      </w:pPr>
    </w:p>
    <w:p w14:paraId="45820189" w14:textId="62231044" w:rsidR="00C0625A" w:rsidRDefault="00C0625A" w:rsidP="004A13D9">
      <w:pPr>
        <w:widowControl w:val="0"/>
        <w:numPr>
          <w:ilvl w:val="0"/>
          <w:numId w:val="8"/>
        </w:numPr>
        <w:suppressAutoHyphens/>
        <w:ind w:left="426" w:hanging="426"/>
        <w:jc w:val="both"/>
        <w:rPr>
          <w:rFonts w:ascii="Arial" w:hAnsi="Arial"/>
          <w:szCs w:val="22"/>
        </w:rPr>
      </w:pPr>
      <w:r w:rsidRPr="00C0625A">
        <w:rPr>
          <w:rFonts w:ascii="Arial" w:hAnsi="Arial"/>
          <w:szCs w:val="22"/>
        </w:rPr>
        <w:t xml:space="preserve">Do Umowy ubezpieczenia odpowiedzialności cywilnej </w:t>
      </w:r>
      <w:r w:rsidR="00E66F69">
        <w:rPr>
          <w:rFonts w:ascii="Arial" w:hAnsi="Arial"/>
          <w:szCs w:val="22"/>
        </w:rPr>
        <w:t xml:space="preserve">osób fizycznych w życiu prywatnym </w:t>
      </w:r>
      <w:r w:rsidRPr="00C0625A">
        <w:rPr>
          <w:rFonts w:ascii="Arial" w:hAnsi="Arial"/>
          <w:szCs w:val="22"/>
        </w:rPr>
        <w:t>w sprawach nieuregulowanych w tej Umowie,  zastosowanie mają</w:t>
      </w:r>
      <w:r w:rsidRPr="00C0625A">
        <w:t xml:space="preserve"> </w:t>
      </w:r>
      <w:r w:rsidR="00B517B4">
        <w:rPr>
          <w:rFonts w:ascii="Arial" w:hAnsi="Arial"/>
          <w:szCs w:val="22"/>
        </w:rPr>
        <w:t>o</w:t>
      </w:r>
      <w:r w:rsidR="00B517B4" w:rsidRPr="00B517B4">
        <w:rPr>
          <w:rFonts w:ascii="Arial" w:hAnsi="Arial"/>
          <w:szCs w:val="22"/>
        </w:rPr>
        <w:t>gólne warunki ubezpieczenia odpowiedzialności cywilnej osób fizycznych w</w:t>
      </w:r>
      <w:r w:rsidR="00E66F69">
        <w:rPr>
          <w:rFonts w:ascii="Arial" w:hAnsi="Arial"/>
          <w:szCs w:val="22"/>
        </w:rPr>
        <w:t> </w:t>
      </w:r>
      <w:r w:rsidR="00B517B4" w:rsidRPr="00B517B4">
        <w:rPr>
          <w:rFonts w:ascii="Arial" w:hAnsi="Arial"/>
          <w:szCs w:val="22"/>
        </w:rPr>
        <w:t xml:space="preserve">życiu prywatnym ustalone uchwałą nr UZ/173/2019 z dnia 5 lipca 2019 r. Zarządu </w:t>
      </w:r>
      <w:r w:rsidR="00B517B4" w:rsidRPr="00B517B4">
        <w:rPr>
          <w:rFonts w:ascii="Arial" w:hAnsi="Arial"/>
          <w:szCs w:val="22"/>
        </w:rPr>
        <w:lastRenderedPageBreak/>
        <w:t>Powszechnego Zakładu Ubezpieczeń Spółki Akcyjnej</w:t>
      </w:r>
      <w:r w:rsidR="00E66F69">
        <w:rPr>
          <w:rFonts w:ascii="Arial" w:hAnsi="Arial"/>
          <w:szCs w:val="22"/>
        </w:rPr>
        <w:t>.</w:t>
      </w:r>
    </w:p>
    <w:p w14:paraId="64611980" w14:textId="3A193F1E" w:rsidR="00E66F69" w:rsidRPr="00E66F69" w:rsidRDefault="00E66F69" w:rsidP="004A13D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/>
          <w:szCs w:val="22"/>
        </w:rPr>
      </w:pPr>
      <w:r w:rsidRPr="00E66F69">
        <w:rPr>
          <w:rFonts w:ascii="Arial" w:hAnsi="Arial"/>
          <w:szCs w:val="22"/>
        </w:rPr>
        <w:t>Przedmiotem ubezpieczenia OC jest odpowiedzialność cywilna ubezpieczonego, który jest wskazany w dokumencie ubezpieczenia, oraz domownika, gdy w</w:t>
      </w:r>
      <w:r>
        <w:rPr>
          <w:rFonts w:ascii="Arial" w:hAnsi="Arial"/>
          <w:szCs w:val="22"/>
        </w:rPr>
        <w:t> </w:t>
      </w:r>
      <w:r w:rsidRPr="00E66F69">
        <w:rPr>
          <w:rFonts w:ascii="Arial" w:hAnsi="Arial"/>
          <w:szCs w:val="22"/>
        </w:rPr>
        <w:t xml:space="preserve">związku z wykonywaniem czynności życia prywatnego lub w związku z </w:t>
      </w:r>
      <w:r>
        <w:rPr>
          <w:rFonts w:ascii="Arial" w:hAnsi="Arial"/>
          <w:szCs w:val="22"/>
        </w:rPr>
        <w:t> p</w:t>
      </w:r>
      <w:r w:rsidRPr="00E66F69">
        <w:rPr>
          <w:rFonts w:ascii="Arial" w:hAnsi="Arial"/>
          <w:szCs w:val="22"/>
        </w:rPr>
        <w:t xml:space="preserve">osiadanym mieniem, które służy wykonywaniu tych czynności, w następstwie czynu niedozwolonego (odpowiedzialność cywilna deliktowa) są oni zobowiązani do naprawienia szkody wyrządzonej osobie trzeciej. </w:t>
      </w:r>
    </w:p>
    <w:p w14:paraId="1F0DECFF" w14:textId="77777777" w:rsidR="00E66F69" w:rsidRPr="00C0625A" w:rsidRDefault="00E66F69" w:rsidP="00E66F69">
      <w:pPr>
        <w:widowControl w:val="0"/>
        <w:suppressAutoHyphens/>
        <w:ind w:left="426"/>
        <w:jc w:val="both"/>
        <w:rPr>
          <w:rFonts w:ascii="Arial" w:hAnsi="Arial"/>
          <w:szCs w:val="22"/>
        </w:rPr>
      </w:pPr>
    </w:p>
    <w:p w14:paraId="1C1E506C" w14:textId="77777777" w:rsidR="00C0625A" w:rsidRPr="00C0625A" w:rsidRDefault="00C0625A" w:rsidP="00C0625A">
      <w:pPr>
        <w:jc w:val="center"/>
        <w:rPr>
          <w:rFonts w:ascii="Arial" w:hAnsi="Arial"/>
          <w:color w:val="76923C"/>
          <w:szCs w:val="22"/>
        </w:rPr>
      </w:pPr>
      <w:r w:rsidRPr="00C0625A">
        <w:rPr>
          <w:rFonts w:ascii="Arial" w:hAnsi="Arial"/>
          <w:b/>
          <w:szCs w:val="22"/>
        </w:rPr>
        <w:t>Suma gwarancyjna</w:t>
      </w:r>
      <w:r w:rsidRPr="00C0625A" w:rsidDel="00EF6165">
        <w:rPr>
          <w:rFonts w:ascii="Arial" w:hAnsi="Arial"/>
          <w:color w:val="76923C"/>
          <w:szCs w:val="22"/>
        </w:rPr>
        <w:t xml:space="preserve"> </w:t>
      </w:r>
    </w:p>
    <w:p w14:paraId="5200122E" w14:textId="4B9713D0" w:rsidR="00C0625A" w:rsidRDefault="00C0625A" w:rsidP="00C0625A">
      <w:pPr>
        <w:jc w:val="center"/>
        <w:rPr>
          <w:rFonts w:ascii="Arial" w:hAnsi="Arial"/>
          <w:b/>
          <w:szCs w:val="22"/>
        </w:rPr>
      </w:pPr>
      <w:bookmarkStart w:id="6" w:name="_Hlk158903186"/>
      <w:r w:rsidRPr="00C0625A">
        <w:rPr>
          <w:rFonts w:ascii="Arial" w:hAnsi="Arial"/>
          <w:b/>
          <w:szCs w:val="22"/>
        </w:rPr>
        <w:t>§ 1</w:t>
      </w:r>
      <w:r w:rsidR="002F45CC">
        <w:rPr>
          <w:rFonts w:ascii="Arial" w:hAnsi="Arial"/>
          <w:b/>
          <w:szCs w:val="22"/>
        </w:rPr>
        <w:t>2</w:t>
      </w:r>
    </w:p>
    <w:p w14:paraId="7DDFFB02" w14:textId="77777777" w:rsidR="002F45CC" w:rsidRPr="00C0625A" w:rsidRDefault="002F45CC" w:rsidP="00C0625A">
      <w:pPr>
        <w:jc w:val="center"/>
        <w:rPr>
          <w:rFonts w:ascii="Arial" w:hAnsi="Arial"/>
          <w:b/>
          <w:szCs w:val="22"/>
        </w:rPr>
      </w:pPr>
    </w:p>
    <w:bookmarkEnd w:id="6"/>
    <w:p w14:paraId="01195188" w14:textId="0FE65F11" w:rsidR="00C0625A" w:rsidRDefault="00C0625A" w:rsidP="00E66F69">
      <w:pPr>
        <w:pStyle w:val="Pa4"/>
        <w:jc w:val="both"/>
        <w:rPr>
          <w:szCs w:val="22"/>
        </w:rPr>
      </w:pPr>
      <w:r w:rsidRPr="00C0625A">
        <w:rPr>
          <w:szCs w:val="22"/>
        </w:rPr>
        <w:t>Suma gwarancyjna z tytułu odpowiedzialności, o której mowa w § 1</w:t>
      </w:r>
      <w:r w:rsidR="00A2181A">
        <w:rPr>
          <w:szCs w:val="22"/>
        </w:rPr>
        <w:t>1</w:t>
      </w:r>
      <w:r w:rsidRPr="00C0625A">
        <w:rPr>
          <w:szCs w:val="22"/>
        </w:rPr>
        <w:t xml:space="preserve"> odnośnie każdego Ubezpieczonego i 12 – miesięcznego okresu ubezpieczenia wynosi </w:t>
      </w:r>
      <w:r w:rsidR="002F45CC">
        <w:rPr>
          <w:szCs w:val="22"/>
        </w:rPr>
        <w:t>30</w:t>
      </w:r>
      <w:r w:rsidRPr="00C0625A">
        <w:rPr>
          <w:szCs w:val="22"/>
        </w:rPr>
        <w:t xml:space="preserve">.000 </w:t>
      </w:r>
      <w:r w:rsidR="00E66F69">
        <w:rPr>
          <w:szCs w:val="22"/>
        </w:rPr>
        <w:t xml:space="preserve">złotych </w:t>
      </w:r>
      <w:r w:rsidRPr="00C0625A">
        <w:rPr>
          <w:szCs w:val="22"/>
        </w:rPr>
        <w:t xml:space="preserve">w odniesieniu do jednego i wszystkich zdarzeń, których skutki objęte są </w:t>
      </w:r>
      <w:r w:rsidRPr="00E66F69">
        <w:rPr>
          <w:szCs w:val="22"/>
        </w:rPr>
        <w:t xml:space="preserve">Umową ubezpieczenia odpowiedzialności cywilnej </w:t>
      </w:r>
      <w:r w:rsidR="00E66F69" w:rsidRPr="00E66F69">
        <w:rPr>
          <w:szCs w:val="22"/>
        </w:rPr>
        <w:t>osób fizycznych w życiu prywatnym</w:t>
      </w:r>
      <w:r w:rsidRPr="00C0625A">
        <w:rPr>
          <w:szCs w:val="22"/>
        </w:rPr>
        <w:t>.</w:t>
      </w:r>
    </w:p>
    <w:p w14:paraId="753300EB" w14:textId="1B8BBEF3" w:rsidR="00C0625A" w:rsidRDefault="00C0625A" w:rsidP="00C0625A">
      <w:pPr>
        <w:jc w:val="center"/>
        <w:rPr>
          <w:rFonts w:ascii="Arial" w:hAnsi="Arial"/>
          <w:b/>
          <w:bCs/>
          <w:iCs/>
        </w:rPr>
      </w:pPr>
    </w:p>
    <w:p w14:paraId="155E05E0" w14:textId="4DC5FAA9" w:rsidR="002F45CC" w:rsidRPr="00C16B23" w:rsidRDefault="002F45CC" w:rsidP="002F45CC">
      <w:pPr>
        <w:pStyle w:val="Akapitzlist"/>
        <w:tabs>
          <w:tab w:val="left" w:pos="426"/>
        </w:tabs>
        <w:ind w:left="993"/>
        <w:jc w:val="center"/>
        <w:rPr>
          <w:rFonts w:ascii="Arial" w:hAnsi="Arial" w:cs="Arial"/>
          <w:b/>
          <w:bCs/>
          <w:szCs w:val="22"/>
        </w:rPr>
      </w:pPr>
      <w:bookmarkStart w:id="7" w:name="_Hlk158903525"/>
      <w:r>
        <w:rPr>
          <w:rFonts w:ascii="Arial" w:hAnsi="Arial" w:cs="Arial"/>
          <w:b/>
          <w:bCs/>
          <w:szCs w:val="22"/>
        </w:rPr>
        <w:t>Ubezpieczenie Następstw Nieszczęśliwych Wypadków</w:t>
      </w:r>
    </w:p>
    <w:p w14:paraId="445DA074" w14:textId="44DFED4E" w:rsidR="002F45CC" w:rsidRPr="00C0625A" w:rsidRDefault="002F45CC" w:rsidP="002F45CC">
      <w:pPr>
        <w:jc w:val="center"/>
        <w:rPr>
          <w:rFonts w:ascii="Arial" w:hAnsi="Arial"/>
          <w:b/>
          <w:szCs w:val="22"/>
        </w:rPr>
      </w:pPr>
      <w:r w:rsidRPr="00C0625A">
        <w:rPr>
          <w:rFonts w:ascii="Arial" w:hAnsi="Arial"/>
          <w:b/>
          <w:szCs w:val="22"/>
        </w:rPr>
        <w:t xml:space="preserve">Przedmiot i zakres ochrony ubezpieczeniowej ubezpieczenia </w:t>
      </w:r>
      <w:r>
        <w:rPr>
          <w:rFonts w:ascii="Arial" w:hAnsi="Arial"/>
          <w:b/>
          <w:szCs w:val="22"/>
        </w:rPr>
        <w:t>PZU NNW</w:t>
      </w:r>
    </w:p>
    <w:p w14:paraId="4444ADF5" w14:textId="38FC8C17" w:rsidR="002F45CC" w:rsidRPr="00C0625A" w:rsidRDefault="002F45CC" w:rsidP="002F45CC">
      <w:pPr>
        <w:jc w:val="center"/>
        <w:rPr>
          <w:rFonts w:ascii="Arial" w:hAnsi="Arial"/>
          <w:b/>
          <w:szCs w:val="22"/>
        </w:rPr>
      </w:pPr>
      <w:r w:rsidRPr="00C0625A">
        <w:rPr>
          <w:rFonts w:ascii="Arial" w:hAnsi="Arial"/>
          <w:b/>
          <w:szCs w:val="22"/>
        </w:rPr>
        <w:t>§ 1</w:t>
      </w:r>
      <w:r>
        <w:rPr>
          <w:rFonts w:ascii="Arial" w:hAnsi="Arial"/>
          <w:b/>
          <w:szCs w:val="22"/>
        </w:rPr>
        <w:t>3</w:t>
      </w:r>
    </w:p>
    <w:bookmarkEnd w:id="7"/>
    <w:p w14:paraId="73C58CCD" w14:textId="5913E74D" w:rsidR="00E23703" w:rsidRDefault="00E23703" w:rsidP="00335624">
      <w:pPr>
        <w:jc w:val="center"/>
        <w:rPr>
          <w:rFonts w:ascii="Arial" w:hAnsi="Arial"/>
          <w:b/>
          <w:bCs/>
          <w:iCs/>
        </w:rPr>
      </w:pPr>
    </w:p>
    <w:bookmarkEnd w:id="5"/>
    <w:p w14:paraId="6B43B8BD" w14:textId="2B90D0B4" w:rsidR="00C16B23" w:rsidRPr="00CB198E" w:rsidRDefault="00C16B23" w:rsidP="004A13D9">
      <w:pPr>
        <w:pStyle w:val="Akapitzlist1"/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rFonts w:ascii="Arial" w:hAnsi="Arial" w:cs="Microsoft Sans Serif"/>
          <w:sz w:val="24"/>
          <w:szCs w:val="20"/>
        </w:rPr>
      </w:pPr>
      <w:r w:rsidRPr="00CB198E">
        <w:rPr>
          <w:rFonts w:ascii="Arial" w:hAnsi="Arial" w:cs="Microsoft Sans Serif"/>
          <w:sz w:val="24"/>
          <w:szCs w:val="20"/>
        </w:rPr>
        <w:t xml:space="preserve">Ubezpieczenie to jest zawierane na warunkach określonych w Ogólnych Warunkach Ubezpieczenia </w:t>
      </w:r>
      <w:r w:rsidR="002F45CC">
        <w:rPr>
          <w:rFonts w:ascii="Arial" w:hAnsi="Arial" w:cs="Microsoft Sans Serif"/>
          <w:sz w:val="24"/>
          <w:szCs w:val="20"/>
        </w:rPr>
        <w:t>PZU NNW ustalone</w:t>
      </w:r>
      <w:r w:rsidRPr="00CB198E">
        <w:rPr>
          <w:rFonts w:ascii="Arial" w:hAnsi="Arial" w:cs="Microsoft Sans Serif"/>
          <w:sz w:val="24"/>
          <w:szCs w:val="20"/>
        </w:rPr>
        <w:t xml:space="preserve"> uchwałą Zarządu Powszechnego Zakładu Ubezpieczeń Spółki Akcyjnej</w:t>
      </w:r>
      <w:r>
        <w:rPr>
          <w:rFonts w:ascii="Arial" w:hAnsi="Arial" w:cs="Microsoft Sans Serif"/>
          <w:sz w:val="24"/>
          <w:szCs w:val="20"/>
        </w:rPr>
        <w:t xml:space="preserve"> </w:t>
      </w:r>
      <w:r w:rsidRPr="00CB198E">
        <w:rPr>
          <w:rFonts w:ascii="Arial" w:hAnsi="Arial" w:cs="Microsoft Sans Serif"/>
          <w:sz w:val="24"/>
          <w:szCs w:val="20"/>
        </w:rPr>
        <w:t>nr UZ/319/2020 z dnia 9 listopada 2020 r.</w:t>
      </w:r>
    </w:p>
    <w:p w14:paraId="20131DC1" w14:textId="77777777" w:rsidR="00C16B23" w:rsidRPr="00CB198E" w:rsidRDefault="00C16B23" w:rsidP="004A13D9">
      <w:pPr>
        <w:pStyle w:val="Akapitzlist1"/>
        <w:numPr>
          <w:ilvl w:val="0"/>
          <w:numId w:val="14"/>
        </w:numPr>
        <w:spacing w:before="120" w:after="120"/>
        <w:ind w:left="357" w:hanging="357"/>
        <w:jc w:val="both"/>
        <w:rPr>
          <w:rFonts w:ascii="Arial" w:hAnsi="Arial" w:cs="Microsoft Sans Serif"/>
          <w:bCs/>
          <w:sz w:val="24"/>
          <w:szCs w:val="20"/>
        </w:rPr>
      </w:pPr>
      <w:r w:rsidRPr="00CB198E">
        <w:rPr>
          <w:rFonts w:ascii="Arial" w:hAnsi="Arial" w:cs="Microsoft Sans Serif"/>
          <w:sz w:val="24"/>
          <w:szCs w:val="20"/>
        </w:rPr>
        <w:t>Ochrona ubezpieczeniowa udzielona jest w zakresie czwartym obejmującym:</w:t>
      </w:r>
    </w:p>
    <w:p w14:paraId="18692897" w14:textId="77777777" w:rsidR="00C16B23" w:rsidRDefault="00C16B23" w:rsidP="004A13D9">
      <w:pPr>
        <w:pStyle w:val="Akapitzlist1"/>
        <w:numPr>
          <w:ilvl w:val="0"/>
          <w:numId w:val="15"/>
        </w:numPr>
        <w:ind w:left="782" w:hanging="357"/>
        <w:jc w:val="both"/>
        <w:rPr>
          <w:rFonts w:ascii="Arial" w:hAnsi="Arial" w:cs="Microsoft Sans Serif"/>
          <w:bCs/>
          <w:sz w:val="24"/>
          <w:szCs w:val="20"/>
        </w:rPr>
      </w:pPr>
      <w:r>
        <w:rPr>
          <w:rFonts w:ascii="Arial" w:hAnsi="Arial" w:cs="Microsoft Sans Serif"/>
          <w:sz w:val="24"/>
          <w:szCs w:val="20"/>
        </w:rPr>
        <w:t>świadczenie z tytułu śmierci,</w:t>
      </w:r>
    </w:p>
    <w:p w14:paraId="1546FA88" w14:textId="77777777" w:rsidR="00C16B23" w:rsidRDefault="00C16B23" w:rsidP="004A13D9">
      <w:pPr>
        <w:pStyle w:val="Akapitzlist1"/>
        <w:numPr>
          <w:ilvl w:val="0"/>
          <w:numId w:val="15"/>
        </w:numPr>
        <w:ind w:left="782" w:hanging="357"/>
        <w:jc w:val="both"/>
        <w:rPr>
          <w:rFonts w:ascii="Arial" w:hAnsi="Arial" w:cs="Microsoft Sans Serif"/>
          <w:bCs/>
          <w:sz w:val="24"/>
          <w:szCs w:val="20"/>
        </w:rPr>
      </w:pPr>
      <w:r>
        <w:rPr>
          <w:rFonts w:ascii="Arial" w:hAnsi="Arial" w:cs="Microsoft Sans Serif"/>
          <w:sz w:val="24"/>
          <w:szCs w:val="20"/>
        </w:rPr>
        <w:t>świadczenie z tytułu trwałego uszczerbku na zdrowiu,</w:t>
      </w:r>
    </w:p>
    <w:p w14:paraId="5F05E66E" w14:textId="77777777" w:rsidR="00C16B23" w:rsidRDefault="00C16B23" w:rsidP="004A13D9">
      <w:pPr>
        <w:pStyle w:val="Akapitzlist1"/>
        <w:numPr>
          <w:ilvl w:val="0"/>
          <w:numId w:val="15"/>
        </w:numPr>
        <w:ind w:left="782" w:hanging="357"/>
        <w:jc w:val="both"/>
        <w:rPr>
          <w:rFonts w:ascii="Arial" w:hAnsi="Arial" w:cs="Microsoft Sans Serif"/>
          <w:bCs/>
          <w:sz w:val="24"/>
          <w:szCs w:val="20"/>
        </w:rPr>
      </w:pPr>
      <w:r>
        <w:rPr>
          <w:rFonts w:ascii="Arial" w:hAnsi="Arial" w:cs="Microsoft Sans Serif"/>
          <w:sz w:val="24"/>
          <w:szCs w:val="20"/>
        </w:rPr>
        <w:t>zwrot kosztów nabycia przedmiotów ortopedycznych i środków pomocniczych,</w:t>
      </w:r>
    </w:p>
    <w:p w14:paraId="0065FE8E" w14:textId="77777777" w:rsidR="00C16B23" w:rsidRDefault="00C16B23" w:rsidP="004A13D9">
      <w:pPr>
        <w:pStyle w:val="Akapitzlist1"/>
        <w:numPr>
          <w:ilvl w:val="0"/>
          <w:numId w:val="15"/>
        </w:numPr>
        <w:ind w:left="782" w:hanging="357"/>
        <w:jc w:val="both"/>
        <w:rPr>
          <w:rFonts w:ascii="Arial" w:hAnsi="Arial" w:cs="Microsoft Sans Serif"/>
          <w:bCs/>
          <w:sz w:val="24"/>
          <w:szCs w:val="20"/>
        </w:rPr>
      </w:pPr>
      <w:r>
        <w:rPr>
          <w:rFonts w:ascii="Arial" w:hAnsi="Arial" w:cs="Microsoft Sans Serif"/>
          <w:sz w:val="24"/>
          <w:szCs w:val="20"/>
        </w:rPr>
        <w:t>zwrot kosztów przeszkolenia zawodowego osób niepełnosprawnych na terytorium RP,</w:t>
      </w:r>
    </w:p>
    <w:p w14:paraId="63E332F9" w14:textId="77777777" w:rsidR="00C16B23" w:rsidRDefault="00C16B23" w:rsidP="004A13D9">
      <w:pPr>
        <w:pStyle w:val="Akapitzlist1"/>
        <w:numPr>
          <w:ilvl w:val="0"/>
          <w:numId w:val="15"/>
        </w:numPr>
        <w:ind w:left="782" w:hanging="357"/>
        <w:jc w:val="both"/>
        <w:rPr>
          <w:rFonts w:ascii="Arial" w:hAnsi="Arial" w:cs="Microsoft Sans Serif"/>
          <w:bCs/>
          <w:sz w:val="24"/>
          <w:szCs w:val="20"/>
        </w:rPr>
      </w:pPr>
      <w:r>
        <w:rPr>
          <w:rFonts w:ascii="Arial" w:hAnsi="Arial" w:cs="Microsoft Sans Serif"/>
          <w:sz w:val="24"/>
          <w:szCs w:val="20"/>
        </w:rPr>
        <w:t>świadczenie za leczenie uciążliwe,</w:t>
      </w:r>
    </w:p>
    <w:p w14:paraId="1E276CCD" w14:textId="77777777" w:rsidR="00C16B23" w:rsidRDefault="00C16B23" w:rsidP="004A13D9">
      <w:pPr>
        <w:pStyle w:val="Akapitzlist1"/>
        <w:numPr>
          <w:ilvl w:val="0"/>
          <w:numId w:val="15"/>
        </w:numPr>
        <w:jc w:val="both"/>
        <w:rPr>
          <w:rFonts w:ascii="Arial" w:hAnsi="Arial" w:cs="Microsoft Sans Serif"/>
          <w:bCs/>
          <w:sz w:val="24"/>
          <w:szCs w:val="20"/>
        </w:rPr>
      </w:pPr>
      <w:r>
        <w:rPr>
          <w:rFonts w:ascii="Arial" w:hAnsi="Arial" w:cs="Microsoft Sans Serif"/>
          <w:sz w:val="24"/>
          <w:szCs w:val="20"/>
        </w:rPr>
        <w:t xml:space="preserve">usługi powypadkowe typu </w:t>
      </w:r>
      <w:proofErr w:type="spellStart"/>
      <w:r>
        <w:rPr>
          <w:rFonts w:ascii="Arial" w:hAnsi="Arial" w:cs="Microsoft Sans Serif"/>
          <w:sz w:val="24"/>
          <w:szCs w:val="20"/>
        </w:rPr>
        <w:t>assistance</w:t>
      </w:r>
      <w:proofErr w:type="spellEnd"/>
      <w:r>
        <w:rPr>
          <w:rFonts w:ascii="Arial" w:hAnsi="Arial" w:cs="Microsoft Sans Serif"/>
          <w:sz w:val="24"/>
          <w:szCs w:val="20"/>
        </w:rPr>
        <w:t xml:space="preserve"> na terytorium RP.</w:t>
      </w:r>
    </w:p>
    <w:p w14:paraId="6985BD60" w14:textId="77777777" w:rsidR="00C16B23" w:rsidRDefault="00C16B23" w:rsidP="004A13D9">
      <w:pPr>
        <w:pStyle w:val="Akapitzlist1"/>
        <w:numPr>
          <w:ilvl w:val="0"/>
          <w:numId w:val="16"/>
        </w:numPr>
        <w:spacing w:before="120" w:after="120"/>
        <w:ind w:left="426" w:hanging="426"/>
        <w:jc w:val="both"/>
        <w:rPr>
          <w:rFonts w:ascii="Arial" w:hAnsi="Arial" w:cs="Microsoft Sans Serif"/>
          <w:sz w:val="24"/>
          <w:szCs w:val="20"/>
        </w:rPr>
      </w:pPr>
      <w:r>
        <w:rPr>
          <w:rFonts w:ascii="Arial" w:hAnsi="Arial" w:cs="Microsoft Sans Serif"/>
          <w:sz w:val="24"/>
          <w:szCs w:val="20"/>
        </w:rPr>
        <w:t>Suma ubezpieczenia ustalona jest dla każdego świadczenia oddzielnie i wynosi:</w:t>
      </w:r>
    </w:p>
    <w:p w14:paraId="4ABF01F6" w14:textId="26C3CAD7" w:rsidR="00C16B23" w:rsidRDefault="00C16B23" w:rsidP="004A13D9">
      <w:pPr>
        <w:pStyle w:val="Akapitzlist1"/>
        <w:numPr>
          <w:ilvl w:val="0"/>
          <w:numId w:val="17"/>
        </w:numPr>
        <w:ind w:left="714" w:hanging="357"/>
        <w:jc w:val="both"/>
        <w:rPr>
          <w:rFonts w:ascii="Arial" w:hAnsi="Arial" w:cs="Microsoft Sans Serif"/>
          <w:bCs/>
          <w:sz w:val="24"/>
          <w:szCs w:val="20"/>
        </w:rPr>
      </w:pPr>
      <w:r>
        <w:rPr>
          <w:rFonts w:ascii="Arial" w:hAnsi="Arial" w:cs="Microsoft Sans Serif"/>
          <w:sz w:val="24"/>
          <w:szCs w:val="20"/>
        </w:rPr>
        <w:t>dla świadczenia z tytułu śmierci 5</w:t>
      </w:r>
      <w:r w:rsidR="002F45CC">
        <w:rPr>
          <w:rFonts w:ascii="Arial" w:hAnsi="Arial" w:cs="Microsoft Sans Serif"/>
          <w:sz w:val="24"/>
          <w:szCs w:val="20"/>
        </w:rPr>
        <w:t>0</w:t>
      </w:r>
      <w:r>
        <w:rPr>
          <w:rFonts w:ascii="Arial" w:hAnsi="Arial" w:cs="Microsoft Sans Serif"/>
          <w:sz w:val="24"/>
          <w:szCs w:val="20"/>
        </w:rPr>
        <w:t>.000 zł,</w:t>
      </w:r>
    </w:p>
    <w:p w14:paraId="1CBB1E66" w14:textId="58B36479" w:rsidR="00C16B23" w:rsidRDefault="00C16B23" w:rsidP="004A13D9">
      <w:pPr>
        <w:pStyle w:val="Akapitzlist1"/>
        <w:numPr>
          <w:ilvl w:val="0"/>
          <w:numId w:val="17"/>
        </w:numPr>
        <w:ind w:left="714" w:hanging="357"/>
        <w:jc w:val="both"/>
        <w:rPr>
          <w:rFonts w:ascii="Arial" w:hAnsi="Arial" w:cs="Microsoft Sans Serif"/>
          <w:bCs/>
          <w:sz w:val="24"/>
          <w:szCs w:val="20"/>
        </w:rPr>
      </w:pPr>
      <w:r>
        <w:rPr>
          <w:rFonts w:ascii="Arial" w:hAnsi="Arial" w:cs="Microsoft Sans Serif"/>
          <w:sz w:val="24"/>
          <w:szCs w:val="20"/>
        </w:rPr>
        <w:t>dla świadczenia z tytułu trwałego uszczerbku na zdrowiu – według wariantu III do 5</w:t>
      </w:r>
      <w:r w:rsidR="002F45CC">
        <w:rPr>
          <w:rFonts w:ascii="Arial" w:hAnsi="Arial" w:cs="Microsoft Sans Serif"/>
          <w:sz w:val="24"/>
          <w:szCs w:val="20"/>
        </w:rPr>
        <w:t>0</w:t>
      </w:r>
      <w:r>
        <w:rPr>
          <w:rFonts w:ascii="Arial" w:hAnsi="Arial" w:cs="Microsoft Sans Serif"/>
          <w:sz w:val="24"/>
          <w:szCs w:val="20"/>
        </w:rPr>
        <w:t>.000 zł.</w:t>
      </w:r>
    </w:p>
    <w:p w14:paraId="60E48DD8" w14:textId="77777777" w:rsidR="00BE29CA" w:rsidRPr="00335624" w:rsidRDefault="00BE29CA" w:rsidP="00F97C60">
      <w:pPr>
        <w:pStyle w:val="Tekstpodstawowywcity"/>
        <w:jc w:val="center"/>
        <w:rPr>
          <w:rFonts w:ascii="Arial" w:hAnsi="Arial"/>
          <w:i/>
          <w:iCs/>
          <w:sz w:val="24"/>
          <w:szCs w:val="22"/>
        </w:rPr>
      </w:pPr>
    </w:p>
    <w:p w14:paraId="1F713844" w14:textId="096CFE90" w:rsidR="004A13D9" w:rsidRPr="008C03B2" w:rsidRDefault="004A13D9" w:rsidP="008C03B2">
      <w:pPr>
        <w:tabs>
          <w:tab w:val="left" w:pos="426"/>
        </w:tabs>
        <w:jc w:val="center"/>
        <w:rPr>
          <w:rFonts w:ascii="Arial" w:hAnsi="Arial" w:cs="Arial"/>
          <w:b/>
          <w:bCs/>
          <w:szCs w:val="22"/>
        </w:rPr>
      </w:pPr>
      <w:r w:rsidRPr="008C03B2">
        <w:rPr>
          <w:rFonts w:ascii="Arial" w:hAnsi="Arial" w:cs="Arial"/>
          <w:b/>
          <w:bCs/>
          <w:szCs w:val="22"/>
        </w:rPr>
        <w:t>Ubezpieczenie Ochrony Prawnej</w:t>
      </w:r>
    </w:p>
    <w:p w14:paraId="4824F525" w14:textId="046B331A" w:rsidR="004A13D9" w:rsidRDefault="004A13D9" w:rsidP="008C03B2">
      <w:pPr>
        <w:jc w:val="center"/>
        <w:rPr>
          <w:rFonts w:ascii="Arial" w:hAnsi="Arial"/>
          <w:b/>
          <w:szCs w:val="22"/>
        </w:rPr>
      </w:pPr>
      <w:r w:rsidRPr="00C0625A">
        <w:rPr>
          <w:rFonts w:ascii="Arial" w:hAnsi="Arial"/>
          <w:b/>
          <w:szCs w:val="22"/>
        </w:rPr>
        <w:t>Przedmiot i zakres ochrony ubezpieczeniowej ubezpieczenia</w:t>
      </w:r>
    </w:p>
    <w:p w14:paraId="673A19B7" w14:textId="558E28AD" w:rsidR="004A13D9" w:rsidRPr="00C0625A" w:rsidRDefault="004A13D9" w:rsidP="004A13D9">
      <w:pPr>
        <w:jc w:val="center"/>
        <w:rPr>
          <w:rFonts w:ascii="Arial" w:hAnsi="Arial"/>
          <w:b/>
          <w:szCs w:val="22"/>
        </w:rPr>
      </w:pPr>
      <w:r w:rsidRPr="00C0625A">
        <w:rPr>
          <w:rFonts w:ascii="Arial" w:hAnsi="Arial"/>
          <w:b/>
          <w:szCs w:val="22"/>
        </w:rPr>
        <w:t>§ 1</w:t>
      </w:r>
      <w:r w:rsidR="008C03B2">
        <w:rPr>
          <w:rFonts w:ascii="Arial" w:hAnsi="Arial"/>
          <w:b/>
          <w:szCs w:val="22"/>
        </w:rPr>
        <w:t>4</w:t>
      </w:r>
    </w:p>
    <w:p w14:paraId="3B22907B" w14:textId="77777777" w:rsidR="00BE29CA" w:rsidRDefault="00BE29CA" w:rsidP="00F97C60">
      <w:pPr>
        <w:pStyle w:val="Tekstpodstawowywcity"/>
        <w:jc w:val="center"/>
        <w:rPr>
          <w:rFonts w:ascii="Arial" w:hAnsi="Arial"/>
          <w:sz w:val="24"/>
          <w:szCs w:val="22"/>
        </w:rPr>
      </w:pPr>
    </w:p>
    <w:p w14:paraId="6D401C4E" w14:textId="77777777" w:rsidR="004A13D9" w:rsidRPr="000E2931" w:rsidRDefault="004A13D9" w:rsidP="004A13D9">
      <w:pPr>
        <w:pStyle w:val="ListParagraph1"/>
        <w:numPr>
          <w:ilvl w:val="6"/>
          <w:numId w:val="18"/>
        </w:numPr>
        <w:tabs>
          <w:tab w:val="left" w:pos="142"/>
        </w:tabs>
        <w:spacing w:before="120" w:after="120"/>
        <w:ind w:left="425" w:hanging="425"/>
        <w:jc w:val="both"/>
        <w:rPr>
          <w:rFonts w:ascii="Arial" w:hAnsi="Arial" w:cs="Arial"/>
          <w:sz w:val="24"/>
          <w:szCs w:val="24"/>
        </w:rPr>
      </w:pPr>
      <w:r w:rsidRPr="000E2931">
        <w:rPr>
          <w:rFonts w:ascii="Arial" w:hAnsi="Arial" w:cs="Arial"/>
          <w:sz w:val="24"/>
          <w:szCs w:val="24"/>
        </w:rPr>
        <w:t xml:space="preserve">Przedmiotem ubezpieczenia jest pokrycie lub zwrot niezbędnych i prawnie uzasadnionych kosztów ochrony prawnej poniesione w celu obrony jego praw, w postępowaniu karnym, cywilnym lub dyscyplinarnym toczącym się przeciwko niemu jako podejrzanemu, oskarżonemu, pozwanemu lub obwinionemu na obszarze Rzeczypospolitej Polskiej, a dotyczącym czynów popełnionych przez niego przy wykonywaniu zawodu architekta lub praw i obowiązków członka Izby Architektów RP. </w:t>
      </w:r>
    </w:p>
    <w:p w14:paraId="4F8ADF76" w14:textId="77777777" w:rsidR="004A13D9" w:rsidRPr="000E2931" w:rsidRDefault="004A13D9" w:rsidP="004A13D9">
      <w:pPr>
        <w:pStyle w:val="ListParagraph1"/>
        <w:numPr>
          <w:ilvl w:val="6"/>
          <w:numId w:val="18"/>
        </w:numPr>
        <w:tabs>
          <w:tab w:val="left" w:pos="142"/>
        </w:tabs>
        <w:spacing w:before="120" w:after="120"/>
        <w:ind w:left="425" w:hanging="425"/>
        <w:jc w:val="both"/>
        <w:rPr>
          <w:rFonts w:ascii="Arial" w:hAnsi="Arial" w:cs="Arial"/>
          <w:sz w:val="24"/>
          <w:szCs w:val="24"/>
        </w:rPr>
      </w:pPr>
      <w:r w:rsidRPr="000E2931">
        <w:rPr>
          <w:rFonts w:ascii="Arial" w:hAnsi="Arial" w:cs="Arial"/>
          <w:sz w:val="24"/>
          <w:szCs w:val="24"/>
        </w:rPr>
        <w:lastRenderedPageBreak/>
        <w:t>Koszty są niezbędne i prawnie uzasadnione, jeżeli ochrona prawna jest dopuszczalna w świetle obowiązujących przepisów prawa.</w:t>
      </w:r>
      <w:r w:rsidRPr="000E293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DAB86EA" w14:textId="77777777" w:rsidR="004A13D9" w:rsidRPr="000E2931" w:rsidRDefault="004A13D9" w:rsidP="004A13D9">
      <w:pPr>
        <w:pStyle w:val="ListParagraph1"/>
        <w:numPr>
          <w:ilvl w:val="6"/>
          <w:numId w:val="18"/>
        </w:numPr>
        <w:tabs>
          <w:tab w:val="left" w:pos="142"/>
        </w:tabs>
        <w:spacing w:before="120" w:after="120"/>
        <w:ind w:left="425" w:hanging="425"/>
        <w:jc w:val="both"/>
        <w:rPr>
          <w:rFonts w:ascii="Arial" w:hAnsi="Arial" w:cs="Arial"/>
          <w:sz w:val="24"/>
          <w:szCs w:val="24"/>
        </w:rPr>
      </w:pPr>
      <w:r w:rsidRPr="000E2931">
        <w:rPr>
          <w:rFonts w:ascii="Arial" w:hAnsi="Arial" w:cs="Arial"/>
          <w:color w:val="000000"/>
          <w:sz w:val="24"/>
          <w:szCs w:val="24"/>
        </w:rPr>
        <w:t>Zakres ubezpieczenia obejmuje koszty ochrony prawnej poniesione przez Ubezpieczonego w postępowaniach, o których mowa w ust.1, dotyczące wypadków ubezpieczeniowych, które zaszły w okresie ubezpieczenia stanowiące:</w:t>
      </w:r>
    </w:p>
    <w:p w14:paraId="586378B4" w14:textId="77777777" w:rsidR="004A13D9" w:rsidRPr="006746AE" w:rsidRDefault="004A13D9" w:rsidP="004A13D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6746AE">
        <w:rPr>
          <w:rFonts w:ascii="Arial" w:hAnsi="Arial" w:cs="Arial"/>
        </w:rPr>
        <w:t>koszty opinii prawnych;</w:t>
      </w:r>
    </w:p>
    <w:p w14:paraId="7B1A65FB" w14:textId="77777777" w:rsidR="004A13D9" w:rsidRPr="006746AE" w:rsidRDefault="004A13D9" w:rsidP="004A13D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6746AE">
        <w:rPr>
          <w:rFonts w:ascii="Arial" w:hAnsi="Arial" w:cs="Arial"/>
        </w:rPr>
        <w:t>koszty wynagrodzenia jednego adwokata albo radcy prawnego - ustanowionego przez ubezpieczonego, określone w ust. 5;</w:t>
      </w:r>
    </w:p>
    <w:p w14:paraId="3EC75129" w14:textId="77777777" w:rsidR="004A13D9" w:rsidRPr="006746AE" w:rsidRDefault="004A13D9" w:rsidP="004A13D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6746AE">
        <w:rPr>
          <w:rFonts w:ascii="Arial" w:hAnsi="Arial" w:cs="Arial"/>
        </w:rPr>
        <w:t>koszty sądowe w sprawach cywilnych, karnych i koszty postępowania przed sądami administracyjnymi;</w:t>
      </w:r>
    </w:p>
    <w:p w14:paraId="7F8158D9" w14:textId="77777777" w:rsidR="004A13D9" w:rsidRPr="006746AE" w:rsidRDefault="004A13D9" w:rsidP="004A13D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6746AE">
        <w:rPr>
          <w:rFonts w:ascii="Arial" w:hAnsi="Arial" w:cs="Arial"/>
        </w:rPr>
        <w:t>koszty postępowania administracyjnego;</w:t>
      </w:r>
    </w:p>
    <w:p w14:paraId="203A7D90" w14:textId="77777777" w:rsidR="004A13D9" w:rsidRPr="006746AE" w:rsidRDefault="004A13D9" w:rsidP="004A13D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6746AE">
        <w:rPr>
          <w:rFonts w:ascii="Arial" w:hAnsi="Arial" w:cs="Arial"/>
        </w:rPr>
        <w:t>koszty zasądzone prawomocnym orzeczeniem sądu od ubezpieczonego na rzecz strony przeciwnej;</w:t>
      </w:r>
    </w:p>
    <w:p w14:paraId="7EEFB32F" w14:textId="77777777" w:rsidR="004A13D9" w:rsidRPr="006746AE" w:rsidRDefault="004A13D9" w:rsidP="004A13D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6746AE">
        <w:rPr>
          <w:rFonts w:ascii="Arial" w:hAnsi="Arial" w:cs="Arial"/>
        </w:rPr>
        <w:t>koszty postępowania egzekucyjnego, jeśli ubezpieczony jest wierzycielem;</w:t>
      </w:r>
    </w:p>
    <w:p w14:paraId="4CBA02EA" w14:textId="77777777" w:rsidR="004A13D9" w:rsidRPr="006746AE" w:rsidRDefault="004A13D9" w:rsidP="004A13D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6746AE">
        <w:rPr>
          <w:rFonts w:ascii="Arial" w:hAnsi="Arial" w:cs="Arial"/>
        </w:rPr>
        <w:t>koszty postępowania sądu polubownego;</w:t>
      </w:r>
    </w:p>
    <w:p w14:paraId="170EBA21" w14:textId="77777777" w:rsidR="004A13D9" w:rsidRPr="006746AE" w:rsidRDefault="004A13D9" w:rsidP="004A13D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6746AE">
        <w:rPr>
          <w:rFonts w:ascii="Arial" w:hAnsi="Arial" w:cs="Arial"/>
        </w:rPr>
        <w:t>koszty mediacji pozasądowej , jeśli była prowadzona za zgodą PZU i koszty mediacji sądowej;</w:t>
      </w:r>
    </w:p>
    <w:p w14:paraId="2B0745C7" w14:textId="77777777" w:rsidR="004A13D9" w:rsidRPr="006746AE" w:rsidRDefault="004A13D9" w:rsidP="004A13D9">
      <w:pPr>
        <w:pStyle w:val="Akapitzlist"/>
        <w:numPr>
          <w:ilvl w:val="0"/>
          <w:numId w:val="19"/>
        </w:numPr>
        <w:suppressAutoHyphens/>
        <w:spacing w:line="260" w:lineRule="exact"/>
        <w:contextualSpacing/>
        <w:jc w:val="both"/>
        <w:rPr>
          <w:rFonts w:ascii="Arial" w:hAnsi="Arial" w:cs="Arial"/>
          <w:bCs/>
        </w:rPr>
      </w:pPr>
      <w:r w:rsidRPr="006746AE">
        <w:rPr>
          <w:rFonts w:ascii="Arial" w:hAnsi="Arial" w:cs="Arial"/>
          <w:bCs/>
        </w:rPr>
        <w:t xml:space="preserve">koszty udzielenia informacji prawnej odnoszących się do nie więcej niż 10 wypadków ubezpieczeniowych. </w:t>
      </w:r>
    </w:p>
    <w:p w14:paraId="510CA933" w14:textId="77777777" w:rsidR="004A13D9" w:rsidRPr="006746AE" w:rsidRDefault="004A13D9" w:rsidP="004A13D9">
      <w:pPr>
        <w:spacing w:line="260" w:lineRule="exact"/>
        <w:ind w:firstLine="378"/>
        <w:rPr>
          <w:rFonts w:ascii="Arial" w:hAnsi="Arial" w:cs="Arial"/>
          <w:bCs/>
        </w:rPr>
      </w:pPr>
      <w:r w:rsidRPr="006746AE">
        <w:rPr>
          <w:rFonts w:ascii="Arial" w:hAnsi="Arial" w:cs="Arial"/>
          <w:bCs/>
        </w:rPr>
        <w:t>Informacją prawną jest:</w:t>
      </w:r>
    </w:p>
    <w:p w14:paraId="6DC3F56C" w14:textId="77777777" w:rsidR="004A13D9" w:rsidRPr="006746AE" w:rsidRDefault="004A13D9" w:rsidP="004A13D9">
      <w:pPr>
        <w:pStyle w:val="Akapitzlist"/>
        <w:numPr>
          <w:ilvl w:val="0"/>
          <w:numId w:val="20"/>
        </w:numPr>
        <w:spacing w:after="200" w:line="276" w:lineRule="auto"/>
        <w:ind w:left="709" w:hanging="345"/>
        <w:contextualSpacing/>
        <w:rPr>
          <w:rFonts w:ascii="Arial" w:hAnsi="Arial" w:cs="Arial"/>
        </w:rPr>
      </w:pPr>
      <w:r w:rsidRPr="006746AE">
        <w:rPr>
          <w:rFonts w:ascii="Arial" w:hAnsi="Arial" w:cs="Arial"/>
        </w:rPr>
        <w:t>przesłanie wzorów umów lub pism należących do powszechnego obrotu prawnego,</w:t>
      </w:r>
    </w:p>
    <w:p w14:paraId="11AB1FA8" w14:textId="77777777" w:rsidR="004A13D9" w:rsidRPr="006746AE" w:rsidRDefault="004A13D9" w:rsidP="004A13D9">
      <w:pPr>
        <w:pStyle w:val="Akapitzlist"/>
        <w:numPr>
          <w:ilvl w:val="0"/>
          <w:numId w:val="20"/>
        </w:numPr>
        <w:ind w:left="284" w:firstLine="94"/>
        <w:contextualSpacing/>
        <w:rPr>
          <w:rFonts w:ascii="Arial" w:hAnsi="Arial" w:cs="Arial"/>
        </w:rPr>
      </w:pPr>
      <w:r w:rsidRPr="006746AE">
        <w:rPr>
          <w:rFonts w:ascii="Arial" w:hAnsi="Arial" w:cs="Arial"/>
        </w:rPr>
        <w:t>przesłanie tekstów obowiązujących lub archiwalnych aktów prawnych,</w:t>
      </w:r>
    </w:p>
    <w:p w14:paraId="6CEA2767" w14:textId="77777777" w:rsidR="004A13D9" w:rsidRPr="006746AE" w:rsidRDefault="004A13D9" w:rsidP="004A13D9">
      <w:pPr>
        <w:pStyle w:val="Akapitzlist"/>
        <w:numPr>
          <w:ilvl w:val="0"/>
          <w:numId w:val="20"/>
        </w:numPr>
        <w:tabs>
          <w:tab w:val="left" w:pos="0"/>
        </w:tabs>
        <w:spacing w:line="260" w:lineRule="exact"/>
        <w:ind w:left="709" w:hanging="331"/>
        <w:contextualSpacing/>
        <w:jc w:val="both"/>
        <w:rPr>
          <w:rFonts w:ascii="Arial" w:hAnsi="Arial" w:cs="Arial"/>
          <w:bCs/>
        </w:rPr>
      </w:pPr>
      <w:r w:rsidRPr="006746AE">
        <w:rPr>
          <w:rFonts w:ascii="Arial" w:hAnsi="Arial" w:cs="Arial"/>
        </w:rPr>
        <w:t xml:space="preserve">udzielenie informacji o obowiązujących procedurach sądowych i kosztach prowadzenia postępowania sądowego, </w:t>
      </w:r>
    </w:p>
    <w:p w14:paraId="6DF67D2C" w14:textId="77777777" w:rsidR="004A13D9" w:rsidRPr="006746AE" w:rsidRDefault="004A13D9" w:rsidP="004A13D9">
      <w:pPr>
        <w:pStyle w:val="Akapitzlist"/>
        <w:numPr>
          <w:ilvl w:val="0"/>
          <w:numId w:val="20"/>
        </w:numPr>
        <w:tabs>
          <w:tab w:val="left" w:pos="0"/>
        </w:tabs>
        <w:spacing w:line="260" w:lineRule="exact"/>
        <w:ind w:left="709" w:hanging="331"/>
        <w:contextualSpacing/>
        <w:jc w:val="both"/>
        <w:rPr>
          <w:rFonts w:ascii="Arial" w:hAnsi="Arial" w:cs="Arial"/>
          <w:bCs/>
        </w:rPr>
      </w:pPr>
      <w:r w:rsidRPr="006746AE">
        <w:rPr>
          <w:rFonts w:ascii="Arial" w:hAnsi="Arial" w:cs="Arial"/>
        </w:rPr>
        <w:t>udzielenie informacji o przepisach prawa, orzecznictwie, poglądach doktryny - w zakresie zgłoszonego problemu prawnego.</w:t>
      </w:r>
    </w:p>
    <w:p w14:paraId="242CEA69" w14:textId="77777777" w:rsidR="004A13D9" w:rsidRPr="003E2C8D" w:rsidRDefault="004A13D9" w:rsidP="004A13D9">
      <w:pPr>
        <w:pStyle w:val="Tekstpodstawowywcity"/>
        <w:numPr>
          <w:ilvl w:val="0"/>
          <w:numId w:val="22"/>
        </w:numPr>
        <w:suppressAutoHyphens/>
        <w:spacing w:after="120"/>
        <w:ind w:left="426" w:hanging="426"/>
        <w:jc w:val="left"/>
        <w:rPr>
          <w:rFonts w:ascii="Arial" w:hAnsi="Arial" w:cs="Arial"/>
          <w:color w:val="000000"/>
          <w:sz w:val="24"/>
        </w:rPr>
      </w:pPr>
      <w:r w:rsidRPr="003E2C8D">
        <w:rPr>
          <w:rFonts w:ascii="Arial" w:hAnsi="Arial" w:cs="Arial"/>
          <w:color w:val="000000"/>
          <w:sz w:val="24"/>
        </w:rPr>
        <w:t>Koszty wynagrodzenia adwokata lub radcy prawnego PZU pokrywa według następujących zasad:</w:t>
      </w:r>
    </w:p>
    <w:p w14:paraId="6A29877F" w14:textId="77777777" w:rsidR="004A13D9" w:rsidRPr="000E2931" w:rsidRDefault="004A13D9" w:rsidP="004A13D9">
      <w:pPr>
        <w:pStyle w:val="Tekstpodstawowywcity"/>
        <w:ind w:left="425"/>
        <w:rPr>
          <w:rFonts w:ascii="Arial" w:hAnsi="Arial" w:cs="Arial"/>
          <w:color w:val="000000"/>
          <w:sz w:val="24"/>
        </w:rPr>
      </w:pPr>
      <w:r w:rsidRPr="000E2931">
        <w:rPr>
          <w:rFonts w:ascii="Arial" w:hAnsi="Arial" w:cs="Arial"/>
          <w:color w:val="000000"/>
          <w:sz w:val="24"/>
        </w:rPr>
        <w:t>a)</w:t>
      </w:r>
      <w:r w:rsidRPr="000E2931">
        <w:rPr>
          <w:rFonts w:ascii="Arial" w:hAnsi="Arial" w:cs="Arial"/>
          <w:color w:val="000000"/>
          <w:sz w:val="24"/>
        </w:rPr>
        <w:tab/>
        <w:t>w wysokości rzeczywistych stawek rynkowych za tego rodzaju usługi w miejscowości, gdzie toczy się spór, w zakresie odpowiadającym nakładowi pracy adwokata lub radcy prawnego oraz do dwukrotności stawki minimalnej określonej na podstawie odpowiednich przepisów prawa w sprawie opłat za czynności adwokata lub radcy prawnego;</w:t>
      </w:r>
    </w:p>
    <w:p w14:paraId="56400CAB" w14:textId="77777777" w:rsidR="004A13D9" w:rsidRPr="000E2931" w:rsidRDefault="004A13D9" w:rsidP="004A13D9">
      <w:pPr>
        <w:pStyle w:val="Tekstpodstawowywcity"/>
        <w:ind w:left="425"/>
        <w:rPr>
          <w:sz w:val="24"/>
        </w:rPr>
      </w:pPr>
      <w:r w:rsidRPr="000E2931">
        <w:rPr>
          <w:rFonts w:ascii="Arial" w:hAnsi="Arial" w:cs="Arial"/>
          <w:color w:val="000000"/>
          <w:sz w:val="24"/>
        </w:rPr>
        <w:t>b)</w:t>
      </w:r>
      <w:r w:rsidRPr="000E2931">
        <w:rPr>
          <w:rFonts w:ascii="Arial" w:hAnsi="Arial" w:cs="Arial"/>
          <w:color w:val="000000"/>
          <w:sz w:val="24"/>
        </w:rPr>
        <w:tab/>
        <w:t>w wartości wyższej niż dwukrotność stawki minimalnej określonej na podstawie odpowiednich przepisów prawa w sprawie opłat za czynności adwokata lub radcy prawnego, jednak nie więcej niż sześciokrotność tej stawki minimalnej – dla spraw, dla których powyższa stawka minimalna nie przekracza 360 zł.</w:t>
      </w:r>
    </w:p>
    <w:p w14:paraId="7232EDC9" w14:textId="77777777" w:rsidR="004A13D9" w:rsidRDefault="004A13D9" w:rsidP="004A13D9">
      <w:pPr>
        <w:pStyle w:val="Akapitzlist1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jc w:val="both"/>
        <w:rPr>
          <w:rFonts w:ascii="Tahoma" w:hAnsi="Tahoma" w:cs="Tahoma"/>
          <w:sz w:val="24"/>
        </w:rPr>
      </w:pPr>
      <w:r w:rsidRPr="004C208B">
        <w:rPr>
          <w:rFonts w:ascii="Arial" w:hAnsi="Arial" w:cs="Arial"/>
          <w:color w:val="000000"/>
          <w:sz w:val="24"/>
        </w:rPr>
        <w:t>Zasady opisane w ust. 1 dotyczą wysokości wynagrodzenia adwokata lub radcy prawnego z tytułu świadczenia usług na każdym etapie ochrony interesów prawnych ubezpieczonego. Jednakże za cały okres świadczenia usług (etap przedsądowy i sądowy) należy się łącznie jedno wynagrodzenie ustalane według tych zasad.</w:t>
      </w:r>
    </w:p>
    <w:p w14:paraId="26D926EA" w14:textId="77777777" w:rsidR="004A13D9" w:rsidRPr="000E2931" w:rsidRDefault="004A13D9" w:rsidP="004A13D9">
      <w:pPr>
        <w:pStyle w:val="Akapitzlist1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4"/>
        </w:rPr>
      </w:pPr>
      <w:r w:rsidRPr="000E2931">
        <w:rPr>
          <w:rFonts w:ascii="Arial" w:hAnsi="Arial" w:cs="Arial"/>
          <w:color w:val="000000"/>
          <w:sz w:val="24"/>
        </w:rPr>
        <w:t xml:space="preserve">PZU SA nie odpowiada za koszty ochrony prawnej: </w:t>
      </w:r>
    </w:p>
    <w:p w14:paraId="73B6B240" w14:textId="77777777" w:rsidR="004A13D9" w:rsidRPr="004C208B" w:rsidRDefault="004A13D9" w:rsidP="004A13D9">
      <w:pPr>
        <w:pStyle w:val="Tekstpodstawowywcity"/>
        <w:numPr>
          <w:ilvl w:val="0"/>
          <w:numId w:val="21"/>
        </w:numPr>
        <w:ind w:left="709" w:hanging="283"/>
        <w:rPr>
          <w:rFonts w:ascii="Arial" w:hAnsi="Arial" w:cs="Arial"/>
          <w:color w:val="000000"/>
          <w:sz w:val="24"/>
        </w:rPr>
      </w:pPr>
      <w:r w:rsidRPr="004C208B">
        <w:rPr>
          <w:rFonts w:ascii="Arial" w:hAnsi="Arial" w:cs="Arial"/>
          <w:color w:val="000000"/>
          <w:sz w:val="24"/>
        </w:rPr>
        <w:t>pokryte w ramach umowy ubezpieczenia zawartej przez ubezpieczonego z innym zakładem ubezpieczeń,</w:t>
      </w:r>
    </w:p>
    <w:p w14:paraId="42E139E2" w14:textId="77777777" w:rsidR="004A13D9" w:rsidRPr="004C208B" w:rsidRDefault="004A13D9" w:rsidP="004A13D9">
      <w:pPr>
        <w:pStyle w:val="Tekstpodstawowywcity"/>
        <w:numPr>
          <w:ilvl w:val="0"/>
          <w:numId w:val="21"/>
        </w:numPr>
        <w:tabs>
          <w:tab w:val="clear" w:pos="720"/>
          <w:tab w:val="num" w:pos="567"/>
        </w:tabs>
        <w:ind w:left="567" w:hanging="141"/>
        <w:rPr>
          <w:rFonts w:ascii="Arial" w:hAnsi="Arial" w:cs="Arial"/>
          <w:color w:val="000000"/>
          <w:sz w:val="24"/>
        </w:rPr>
      </w:pPr>
      <w:r w:rsidRPr="004C208B">
        <w:rPr>
          <w:rFonts w:ascii="Arial" w:hAnsi="Arial" w:cs="Arial"/>
          <w:color w:val="000000"/>
          <w:sz w:val="24"/>
        </w:rPr>
        <w:t>poniesione przez ubezpieczonego w sporze z PZU SA, niezależnie od istoty sporu,</w:t>
      </w:r>
    </w:p>
    <w:p w14:paraId="55767E06" w14:textId="77777777" w:rsidR="004A13D9" w:rsidRPr="004C208B" w:rsidRDefault="004A13D9" w:rsidP="004A13D9">
      <w:pPr>
        <w:pStyle w:val="Tekstpodstawowywcity"/>
        <w:numPr>
          <w:ilvl w:val="0"/>
          <w:numId w:val="21"/>
        </w:numPr>
        <w:ind w:left="709" w:hanging="283"/>
        <w:rPr>
          <w:rFonts w:ascii="Arial" w:hAnsi="Arial" w:cs="Arial"/>
          <w:color w:val="000000"/>
          <w:sz w:val="24"/>
        </w:rPr>
      </w:pPr>
      <w:r w:rsidRPr="004C208B">
        <w:rPr>
          <w:rFonts w:ascii="Arial" w:hAnsi="Arial" w:cs="Arial"/>
          <w:color w:val="000000"/>
          <w:sz w:val="24"/>
        </w:rPr>
        <w:lastRenderedPageBreak/>
        <w:t>związane ze świadomym zatajeniem przez ubezpieczonego informacji lub dokumentów mogących mieć wpływ na sposób świadczenia pomocy prawnej,</w:t>
      </w:r>
    </w:p>
    <w:p w14:paraId="3DCD8DBD" w14:textId="77777777" w:rsidR="004A13D9" w:rsidRPr="004C208B" w:rsidRDefault="004A13D9" w:rsidP="004A13D9">
      <w:pPr>
        <w:pStyle w:val="Tekstpodstawowywcity"/>
        <w:numPr>
          <w:ilvl w:val="0"/>
          <w:numId w:val="21"/>
        </w:numPr>
        <w:ind w:left="709" w:hanging="283"/>
        <w:rPr>
          <w:rFonts w:ascii="Arial" w:hAnsi="Arial" w:cs="Arial"/>
          <w:color w:val="000000"/>
          <w:sz w:val="24"/>
        </w:rPr>
      </w:pPr>
      <w:r w:rsidRPr="004C208B">
        <w:rPr>
          <w:rFonts w:ascii="Arial" w:hAnsi="Arial" w:cs="Arial"/>
          <w:color w:val="000000"/>
          <w:sz w:val="24"/>
        </w:rPr>
        <w:t>poniesionych na polecenie ubezpieczonego, które nie były konieczne w celu obrony praw ubezpieczonego lub dotyczących nieistotnych środków dowodowych,</w:t>
      </w:r>
    </w:p>
    <w:p w14:paraId="11C3522C" w14:textId="77777777" w:rsidR="004A13D9" w:rsidRPr="004C208B" w:rsidRDefault="004A13D9" w:rsidP="004A13D9">
      <w:pPr>
        <w:pStyle w:val="Tekstpodstawowywcity"/>
        <w:numPr>
          <w:ilvl w:val="0"/>
          <w:numId w:val="21"/>
        </w:numPr>
        <w:tabs>
          <w:tab w:val="clear" w:pos="720"/>
          <w:tab w:val="num" w:pos="567"/>
        </w:tabs>
        <w:ind w:left="567" w:hanging="141"/>
        <w:rPr>
          <w:rFonts w:ascii="Arial" w:hAnsi="Arial" w:cs="Arial"/>
          <w:color w:val="000000"/>
          <w:sz w:val="24"/>
        </w:rPr>
      </w:pPr>
      <w:r w:rsidRPr="004C208B">
        <w:rPr>
          <w:rFonts w:ascii="Arial" w:hAnsi="Arial" w:cs="Arial"/>
          <w:sz w:val="24"/>
        </w:rPr>
        <w:t>poniesione w postępowaniu wszczętym na wniosek osób bliskich,</w:t>
      </w:r>
    </w:p>
    <w:p w14:paraId="0D34128B" w14:textId="066A79C7" w:rsidR="004A13D9" w:rsidRPr="003E2C8D" w:rsidRDefault="004A13D9" w:rsidP="004A13D9">
      <w:pPr>
        <w:pStyle w:val="Tekstpodstawowywcity"/>
        <w:numPr>
          <w:ilvl w:val="0"/>
          <w:numId w:val="21"/>
        </w:numPr>
        <w:ind w:left="709" w:hanging="283"/>
        <w:rPr>
          <w:rFonts w:ascii="Arial" w:hAnsi="Arial" w:cs="Arial"/>
          <w:color w:val="000000"/>
          <w:sz w:val="24"/>
        </w:rPr>
      </w:pPr>
      <w:r w:rsidRPr="003E2C8D">
        <w:rPr>
          <w:rFonts w:ascii="Arial" w:hAnsi="Arial" w:cs="Arial"/>
          <w:color w:val="000000"/>
          <w:sz w:val="24"/>
        </w:rPr>
        <w:t>poniesione przez ubezpieczonego w postępowaniu, w którym działał on na szkodę PZU SA.</w:t>
      </w:r>
    </w:p>
    <w:p w14:paraId="21B80696" w14:textId="77777777" w:rsidR="004A13D9" w:rsidRPr="004C208B" w:rsidRDefault="004A13D9" w:rsidP="004A13D9">
      <w:pPr>
        <w:pStyle w:val="Tekstpodstawowywcity"/>
        <w:numPr>
          <w:ilvl w:val="0"/>
          <w:numId w:val="21"/>
        </w:numPr>
        <w:rPr>
          <w:rFonts w:ascii="Arial" w:hAnsi="Arial" w:cs="Arial"/>
          <w:color w:val="000000"/>
          <w:sz w:val="24"/>
        </w:rPr>
      </w:pPr>
      <w:r w:rsidRPr="004C208B">
        <w:rPr>
          <w:rFonts w:ascii="Arial" w:hAnsi="Arial" w:cs="Arial"/>
          <w:color w:val="000000"/>
          <w:sz w:val="24"/>
        </w:rPr>
        <w:t>wypadków ubezpieczeniowych spowodowanych umyślnie lub pozostających w bezpośrednim związku z popełnieniem umyślnego przestępstwa lub wykroczenia;</w:t>
      </w:r>
    </w:p>
    <w:p w14:paraId="2BE162CA" w14:textId="77777777" w:rsidR="004A13D9" w:rsidRDefault="004A13D9" w:rsidP="004A13D9">
      <w:pPr>
        <w:pStyle w:val="Tekstpodstawowywcity"/>
        <w:numPr>
          <w:ilvl w:val="0"/>
          <w:numId w:val="21"/>
        </w:numPr>
        <w:ind w:left="714" w:hanging="357"/>
        <w:rPr>
          <w:rFonts w:ascii="Arial" w:hAnsi="Arial" w:cs="Arial"/>
          <w:color w:val="000000"/>
          <w:sz w:val="24"/>
        </w:rPr>
      </w:pPr>
      <w:r w:rsidRPr="004C208B">
        <w:rPr>
          <w:rFonts w:ascii="Arial" w:hAnsi="Arial" w:cs="Arial"/>
          <w:color w:val="000000"/>
          <w:sz w:val="24"/>
        </w:rPr>
        <w:t>z tytułu szkód wyrządzonych w okresie, w którym ubezpieczony nie posiadał uprawnień do wykonywania zawodu,</w:t>
      </w:r>
    </w:p>
    <w:p w14:paraId="00979F00" w14:textId="77777777" w:rsidR="004A13D9" w:rsidRPr="006746AE" w:rsidRDefault="004A13D9" w:rsidP="004A13D9">
      <w:pPr>
        <w:pStyle w:val="Tekstpodstawowywcity"/>
        <w:numPr>
          <w:ilvl w:val="0"/>
          <w:numId w:val="21"/>
        </w:numPr>
        <w:ind w:left="714" w:hanging="357"/>
        <w:rPr>
          <w:rFonts w:ascii="Arial" w:hAnsi="Arial" w:cs="Arial"/>
          <w:color w:val="000000"/>
          <w:sz w:val="24"/>
        </w:rPr>
      </w:pPr>
      <w:r w:rsidRPr="006746AE">
        <w:rPr>
          <w:rFonts w:ascii="Arial" w:hAnsi="Arial" w:cs="Arial"/>
          <w:color w:val="000000"/>
          <w:sz w:val="24"/>
        </w:rPr>
        <w:t>wypadków ubezpieczeniowych powstałych wskutek znajdowania się ubezpieczonego w stanie nietrzeźwości lub w stanie po użyciu środków odurzających, substancji psychotropowych, środków zastępczych lub nowych substancji psychoaktywnych, w rozumieniu przepisów o przeciwdziałaniu narkomanii,</w:t>
      </w:r>
    </w:p>
    <w:p w14:paraId="53BB7EA4" w14:textId="77777777" w:rsidR="004A13D9" w:rsidRDefault="004A13D9" w:rsidP="004A13D9">
      <w:pPr>
        <w:pStyle w:val="ListParagraph1"/>
        <w:tabs>
          <w:tab w:val="left" w:pos="567"/>
        </w:tabs>
        <w:ind w:left="0"/>
        <w:jc w:val="both"/>
        <w:rPr>
          <w:rFonts w:ascii="Tahoma" w:hAnsi="Tahoma" w:cs="Tahoma"/>
          <w:sz w:val="24"/>
          <w:szCs w:val="24"/>
        </w:rPr>
      </w:pPr>
    </w:p>
    <w:p w14:paraId="4708BF78" w14:textId="55B7C3C7" w:rsidR="002F49BE" w:rsidRPr="002F49BE" w:rsidRDefault="002F49BE" w:rsidP="002F49BE">
      <w:pPr>
        <w:pStyle w:val="Akapitzlist"/>
        <w:numPr>
          <w:ilvl w:val="0"/>
          <w:numId w:val="22"/>
        </w:numPr>
        <w:tabs>
          <w:tab w:val="left" w:pos="360"/>
          <w:tab w:val="left" w:pos="426"/>
        </w:tabs>
        <w:suppressAutoHyphens/>
        <w:spacing w:after="120"/>
        <w:ind w:left="567" w:hanging="567"/>
        <w:jc w:val="both"/>
        <w:rPr>
          <w:rFonts w:ascii="Arial" w:hAnsi="Arial" w:cs="Arial"/>
          <w:color w:val="000000"/>
        </w:rPr>
      </w:pPr>
      <w:r w:rsidRPr="002F49BE">
        <w:rPr>
          <w:rFonts w:ascii="Arial" w:hAnsi="Arial" w:cs="Arial"/>
        </w:rPr>
        <w:t xml:space="preserve">W ubezpieczeniu ochrony prawnej suma ubezpieczenia w 12 miesięcznym okresie ubezpieczenia wynosi </w:t>
      </w:r>
      <w:r>
        <w:rPr>
          <w:rFonts w:ascii="Arial" w:hAnsi="Arial" w:cs="Arial"/>
        </w:rPr>
        <w:t>8</w:t>
      </w:r>
      <w:r w:rsidRPr="002F49BE">
        <w:rPr>
          <w:rFonts w:ascii="Arial" w:hAnsi="Arial" w:cs="Arial"/>
        </w:rPr>
        <w:t> 000 zł na</w:t>
      </w:r>
      <w:r>
        <w:rPr>
          <w:rFonts w:ascii="Arial" w:hAnsi="Arial" w:cs="Arial"/>
        </w:rPr>
        <w:t xml:space="preserve"> jeden i </w:t>
      </w:r>
      <w:r w:rsidRPr="002F49BE">
        <w:rPr>
          <w:rFonts w:ascii="Arial" w:hAnsi="Arial" w:cs="Arial"/>
        </w:rPr>
        <w:t>wszystkie wypadki</w:t>
      </w:r>
      <w:r>
        <w:rPr>
          <w:rFonts w:ascii="Arial" w:hAnsi="Arial" w:cs="Arial"/>
        </w:rPr>
        <w:t xml:space="preserve"> </w:t>
      </w:r>
      <w:r w:rsidRPr="002F49BE">
        <w:rPr>
          <w:rFonts w:ascii="Arial" w:hAnsi="Arial" w:cs="Arial"/>
        </w:rPr>
        <w:t>ubezpiecz</w:t>
      </w:r>
      <w:r>
        <w:rPr>
          <w:rFonts w:ascii="Arial" w:hAnsi="Arial" w:cs="Arial"/>
        </w:rPr>
        <w:t>enia</w:t>
      </w:r>
      <w:r w:rsidRPr="002F49BE">
        <w:rPr>
          <w:rFonts w:ascii="Arial" w:hAnsi="Arial" w:cs="Arial"/>
        </w:rPr>
        <w:t>.</w:t>
      </w:r>
    </w:p>
    <w:p w14:paraId="6E8997CE" w14:textId="400DDD15" w:rsidR="002F49BE" w:rsidRPr="002F49BE" w:rsidRDefault="002F49BE" w:rsidP="002F49BE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color w:val="000000"/>
        </w:rPr>
      </w:pPr>
      <w:r w:rsidRPr="002F49BE">
        <w:rPr>
          <w:rFonts w:ascii="Arial" w:hAnsi="Arial" w:cs="Arial"/>
          <w:color w:val="000000"/>
        </w:rPr>
        <w:t>Architekci członkowie IARP mają możliwość wyboru dodatkowych sum</w:t>
      </w:r>
      <w:r>
        <w:rPr>
          <w:rFonts w:ascii="Arial" w:hAnsi="Arial" w:cs="Arial"/>
          <w:color w:val="000000"/>
        </w:rPr>
        <w:t xml:space="preserve"> ubezpieczenia</w:t>
      </w:r>
      <w:r w:rsidRPr="002F49BE">
        <w:rPr>
          <w:rFonts w:ascii="Arial" w:hAnsi="Arial" w:cs="Arial"/>
          <w:color w:val="000000"/>
        </w:rPr>
        <w:t xml:space="preserve"> spośród następujących: </w:t>
      </w:r>
    </w:p>
    <w:p w14:paraId="05DE7D84" w14:textId="34656053" w:rsidR="002F49BE" w:rsidRDefault="002F49BE" w:rsidP="002F49BE">
      <w:pPr>
        <w:pStyle w:val="Akapitzlist"/>
        <w:numPr>
          <w:ilvl w:val="0"/>
          <w:numId w:val="24"/>
        </w:numPr>
        <w:tabs>
          <w:tab w:val="left" w:pos="360"/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25.000 zł,</w:t>
      </w:r>
    </w:p>
    <w:p w14:paraId="20EBC48E" w14:textId="2E3AED38" w:rsidR="002F49BE" w:rsidRDefault="002F49BE" w:rsidP="002F49BE">
      <w:pPr>
        <w:pStyle w:val="Akapitzlist"/>
        <w:numPr>
          <w:ilvl w:val="0"/>
          <w:numId w:val="24"/>
        </w:numPr>
        <w:tabs>
          <w:tab w:val="left" w:pos="360"/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50.000 zł.</w:t>
      </w:r>
    </w:p>
    <w:p w14:paraId="25AB5037" w14:textId="4A552E45" w:rsidR="002F49BE" w:rsidRDefault="002F49BE" w:rsidP="002F49BE">
      <w:pPr>
        <w:tabs>
          <w:tab w:val="left" w:pos="360"/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</w:p>
    <w:p w14:paraId="40DCE302" w14:textId="74FDAAAD" w:rsidR="002F49BE" w:rsidRDefault="002F49BE" w:rsidP="002F49BE">
      <w:pPr>
        <w:tabs>
          <w:tab w:val="left" w:pos="360"/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</w:p>
    <w:p w14:paraId="42899EB7" w14:textId="349AB3AA" w:rsidR="002F49BE" w:rsidRDefault="002F49BE" w:rsidP="002F49BE">
      <w:pPr>
        <w:tabs>
          <w:tab w:val="left" w:pos="360"/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</w:p>
    <w:p w14:paraId="2DEB4ACA" w14:textId="36A0EC8B" w:rsidR="002F49BE" w:rsidRDefault="002F49BE" w:rsidP="002F49BE">
      <w:pPr>
        <w:tabs>
          <w:tab w:val="left" w:pos="360"/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</w:p>
    <w:p w14:paraId="569F5D12" w14:textId="3AC26DCE" w:rsidR="002F49BE" w:rsidRDefault="002F49BE" w:rsidP="002F49BE">
      <w:pPr>
        <w:tabs>
          <w:tab w:val="left" w:pos="360"/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</w:p>
    <w:p w14:paraId="4FFB51C0" w14:textId="777C0B63" w:rsidR="002F49BE" w:rsidRDefault="002F49BE" w:rsidP="002F49BE">
      <w:pPr>
        <w:tabs>
          <w:tab w:val="left" w:pos="360"/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</w:p>
    <w:p w14:paraId="6CCDD098" w14:textId="2EC84C55" w:rsidR="002F49BE" w:rsidRDefault="002F49BE" w:rsidP="002F49BE">
      <w:pPr>
        <w:tabs>
          <w:tab w:val="left" w:pos="360"/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</w:p>
    <w:p w14:paraId="55252F1F" w14:textId="77777777" w:rsidR="002F49BE" w:rsidRPr="002F49BE" w:rsidRDefault="002F49BE" w:rsidP="002F49BE">
      <w:pPr>
        <w:tabs>
          <w:tab w:val="left" w:pos="360"/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9"/>
        <w:gridCol w:w="2994"/>
        <w:gridCol w:w="3039"/>
      </w:tblGrid>
      <w:tr w:rsidR="002F49BE" w14:paraId="29EB6EE0" w14:textId="77777777" w:rsidTr="00363548">
        <w:trPr>
          <w:jc w:val="center"/>
        </w:trPr>
        <w:tc>
          <w:tcPr>
            <w:tcW w:w="3070" w:type="dxa"/>
            <w:shd w:val="clear" w:color="auto" w:fill="auto"/>
          </w:tcPr>
          <w:p w14:paraId="5F265C1D" w14:textId="77777777" w:rsidR="002F49BE" w:rsidRDefault="002F49BE" w:rsidP="003635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…………………</w:t>
            </w:r>
          </w:p>
        </w:tc>
        <w:tc>
          <w:tcPr>
            <w:tcW w:w="3071" w:type="dxa"/>
            <w:shd w:val="clear" w:color="auto" w:fill="auto"/>
          </w:tcPr>
          <w:p w14:paraId="5DA8BD78" w14:textId="77777777" w:rsidR="002F49BE" w:rsidRDefault="002F49BE" w:rsidP="0036354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2D7984E1" w14:textId="77777777" w:rsidR="002F49BE" w:rsidRDefault="002F49BE" w:rsidP="003635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…………………</w:t>
            </w:r>
          </w:p>
        </w:tc>
      </w:tr>
      <w:tr w:rsidR="002F49BE" w14:paraId="207BFFB9" w14:textId="77777777" w:rsidTr="00363548">
        <w:trPr>
          <w:jc w:val="center"/>
        </w:trPr>
        <w:tc>
          <w:tcPr>
            <w:tcW w:w="3070" w:type="dxa"/>
            <w:shd w:val="clear" w:color="auto" w:fill="auto"/>
          </w:tcPr>
          <w:p w14:paraId="4809579F" w14:textId="35C7D3D9" w:rsidR="002F49BE" w:rsidRDefault="002F49BE" w:rsidP="003635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IARP </w:t>
            </w:r>
          </w:p>
        </w:tc>
        <w:tc>
          <w:tcPr>
            <w:tcW w:w="3071" w:type="dxa"/>
            <w:shd w:val="clear" w:color="auto" w:fill="auto"/>
          </w:tcPr>
          <w:p w14:paraId="29735D35" w14:textId="77777777" w:rsidR="002F49BE" w:rsidRDefault="002F49BE" w:rsidP="0036354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49CB8A0D" w14:textId="77777777" w:rsidR="002F49BE" w:rsidRDefault="002F49BE" w:rsidP="003635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PZU SA</w:t>
            </w:r>
          </w:p>
        </w:tc>
      </w:tr>
    </w:tbl>
    <w:p w14:paraId="66E761D0" w14:textId="77777777" w:rsidR="00C40E8E" w:rsidRDefault="00C40E8E" w:rsidP="00F97C60">
      <w:pPr>
        <w:pStyle w:val="Tekstpodstawowywcity"/>
        <w:jc w:val="center"/>
        <w:rPr>
          <w:rFonts w:ascii="Arial" w:hAnsi="Arial"/>
          <w:sz w:val="24"/>
          <w:szCs w:val="22"/>
        </w:rPr>
      </w:pPr>
    </w:p>
    <w:sectPr w:rsidR="00C40E8E" w:rsidSect="00064A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6459" w14:textId="77777777" w:rsidR="00064A4D" w:rsidRDefault="00064A4D" w:rsidP="005315CB">
      <w:r>
        <w:separator/>
      </w:r>
    </w:p>
  </w:endnote>
  <w:endnote w:type="continuationSeparator" w:id="0">
    <w:p w14:paraId="16E463EC" w14:textId="77777777" w:rsidR="00064A4D" w:rsidRDefault="00064A4D" w:rsidP="0053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6469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02F2D09" w14:textId="7A72F8C9" w:rsidR="00E01C9A" w:rsidRPr="005C6F79" w:rsidRDefault="00E01C9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5C6F79">
          <w:rPr>
            <w:rFonts w:ascii="Arial" w:hAnsi="Arial" w:cs="Arial"/>
            <w:sz w:val="20"/>
            <w:szCs w:val="20"/>
          </w:rPr>
          <w:fldChar w:fldCharType="begin"/>
        </w:r>
        <w:r w:rsidRPr="005C6F79">
          <w:rPr>
            <w:rFonts w:ascii="Arial" w:hAnsi="Arial" w:cs="Arial"/>
            <w:sz w:val="20"/>
            <w:szCs w:val="20"/>
          </w:rPr>
          <w:instrText>PAGE   \* MERGEFORMAT</w:instrText>
        </w:r>
        <w:r w:rsidRPr="005C6F79">
          <w:rPr>
            <w:rFonts w:ascii="Arial" w:hAnsi="Arial" w:cs="Arial"/>
            <w:sz w:val="20"/>
            <w:szCs w:val="20"/>
          </w:rPr>
          <w:fldChar w:fldCharType="separate"/>
        </w:r>
        <w:r w:rsidR="00034702">
          <w:rPr>
            <w:rFonts w:ascii="Arial" w:hAnsi="Arial" w:cs="Arial"/>
            <w:noProof/>
            <w:sz w:val="20"/>
            <w:szCs w:val="20"/>
          </w:rPr>
          <w:t>4</w:t>
        </w:r>
        <w:r w:rsidRPr="005C6F7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140555B" w14:textId="77777777" w:rsidR="00E01C9A" w:rsidRDefault="00E01C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27AB" w14:textId="77777777" w:rsidR="00064A4D" w:rsidRDefault="00064A4D" w:rsidP="005315CB">
      <w:r>
        <w:separator/>
      </w:r>
    </w:p>
  </w:footnote>
  <w:footnote w:type="continuationSeparator" w:id="0">
    <w:p w14:paraId="51EF01B0" w14:textId="77777777" w:rsidR="00064A4D" w:rsidRDefault="00064A4D" w:rsidP="0053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45E0500"/>
    <w:name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u w:val="none"/>
        <w:effect w:val="none"/>
      </w:rPr>
    </w:lvl>
  </w:abstractNum>
  <w:abstractNum w:abstractNumId="1" w15:restartNumberingAfterBreak="0">
    <w:nsid w:val="00000005"/>
    <w:multiLevelType w:val="multilevel"/>
    <w:tmpl w:val="97AE7D34"/>
    <w:name w:val="WW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Microsoft Sans Serif"/>
      </w:rPr>
    </w:lvl>
    <w:lvl w:ilvl="1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cs="Times New Roman"/>
        <w:b w:val="0"/>
        <w:i w:val="0"/>
      </w:rPr>
    </w:lvl>
    <w:lvl w:ilvl="2">
      <w:start w:val="1"/>
      <w:numFmt w:val="lowerRoman"/>
      <w:lvlText w:val=" 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upperLetter"/>
      <w:lvlText w:val=" 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abstractNum w:abstractNumId="3" w15:restartNumberingAfterBreak="0">
    <w:nsid w:val="0000001D"/>
    <w:multiLevelType w:val="multilevel"/>
    <w:tmpl w:val="882A2E42"/>
    <w:name w:val="WWNum51"/>
    <w:lvl w:ilvl="0">
      <w:start w:val="10"/>
      <w:numFmt w:val="decimal"/>
      <w:lvlText w:val="%1."/>
      <w:lvlJc w:val="left"/>
      <w:pPr>
        <w:tabs>
          <w:tab w:val="num" w:pos="-510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7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77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97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17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37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57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77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97" w:hanging="180"/>
      </w:pPr>
      <w:rPr>
        <w:rFonts w:cs="Times New Roman" w:hint="default"/>
      </w:rPr>
    </w:lvl>
  </w:abstractNum>
  <w:abstractNum w:abstractNumId="4" w15:restartNumberingAfterBreak="0">
    <w:nsid w:val="053750A4"/>
    <w:multiLevelType w:val="hybridMultilevel"/>
    <w:tmpl w:val="F984C7B0"/>
    <w:lvl w:ilvl="0" w:tplc="93CEC5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7B2"/>
    <w:multiLevelType w:val="hybridMultilevel"/>
    <w:tmpl w:val="FED4D138"/>
    <w:lvl w:ilvl="0" w:tplc="30C8B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sz w:val="24"/>
      </w:rPr>
    </w:lvl>
    <w:lvl w:ilvl="1" w:tplc="2DD46FAE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kern w:val="24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625E71"/>
    <w:multiLevelType w:val="hybridMultilevel"/>
    <w:tmpl w:val="08A87FAC"/>
    <w:lvl w:ilvl="0" w:tplc="8F460A4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1766D0"/>
    <w:multiLevelType w:val="hybridMultilevel"/>
    <w:tmpl w:val="31E456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DB6A17F8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C92D4E"/>
    <w:multiLevelType w:val="hybridMultilevel"/>
    <w:tmpl w:val="5DD05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50383"/>
    <w:multiLevelType w:val="hybridMultilevel"/>
    <w:tmpl w:val="D4B834D4"/>
    <w:name w:val="WW8Num1524"/>
    <w:lvl w:ilvl="0" w:tplc="CE22A8A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F7789"/>
    <w:multiLevelType w:val="hybridMultilevel"/>
    <w:tmpl w:val="36C0E970"/>
    <w:lvl w:ilvl="0" w:tplc="DA2686E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9432DC5"/>
    <w:multiLevelType w:val="hybridMultilevel"/>
    <w:tmpl w:val="A98255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12D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9860AB"/>
    <w:multiLevelType w:val="hybridMultilevel"/>
    <w:tmpl w:val="ADFACBA0"/>
    <w:lvl w:ilvl="0" w:tplc="4F5C01C4">
      <w:start w:val="1"/>
      <w:numFmt w:val="lowerLetter"/>
      <w:lvlText w:val="%1)"/>
      <w:lvlJc w:val="left"/>
      <w:pPr>
        <w:ind w:left="888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3" w15:restartNumberingAfterBreak="0">
    <w:nsid w:val="369943FC"/>
    <w:multiLevelType w:val="multilevel"/>
    <w:tmpl w:val="940276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Microsoft Sans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36A46142"/>
    <w:multiLevelType w:val="hybridMultilevel"/>
    <w:tmpl w:val="75247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026A5"/>
    <w:multiLevelType w:val="hybridMultilevel"/>
    <w:tmpl w:val="757A3482"/>
    <w:lvl w:ilvl="0" w:tplc="8B549F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4EA8"/>
    <w:multiLevelType w:val="hybridMultilevel"/>
    <w:tmpl w:val="2E303454"/>
    <w:lvl w:ilvl="0" w:tplc="B26435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F130E"/>
    <w:multiLevelType w:val="hybridMultilevel"/>
    <w:tmpl w:val="6B3EA7D2"/>
    <w:lvl w:ilvl="0" w:tplc="6A86EF3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63DC3"/>
    <w:multiLevelType w:val="hybridMultilevel"/>
    <w:tmpl w:val="F0C8D1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3AF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3AED5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E136ED"/>
    <w:multiLevelType w:val="hybridMultilevel"/>
    <w:tmpl w:val="C99E44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FF85C5C"/>
    <w:multiLevelType w:val="hybridMultilevel"/>
    <w:tmpl w:val="274279EC"/>
    <w:lvl w:ilvl="0" w:tplc="9F343BB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3132C"/>
    <w:multiLevelType w:val="multilevel"/>
    <w:tmpl w:val="070A812C"/>
    <w:lvl w:ilvl="0">
      <w:start w:val="1"/>
      <w:numFmt w:val="decimal"/>
      <w:lvlText w:val="%1. "/>
      <w:lvlJc w:val="left"/>
      <w:pPr>
        <w:tabs>
          <w:tab w:val="num" w:pos="0"/>
        </w:tabs>
        <w:ind w:left="720" w:hanging="360"/>
      </w:pPr>
      <w:rPr>
        <w:rFonts w:cs="Microsoft Sans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 w15:restartNumberingAfterBreak="0">
    <w:nsid w:val="785C3390"/>
    <w:multiLevelType w:val="hybridMultilevel"/>
    <w:tmpl w:val="91922D82"/>
    <w:lvl w:ilvl="0" w:tplc="1604F4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07E83D2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683F04"/>
    <w:multiLevelType w:val="hybridMultilevel"/>
    <w:tmpl w:val="840AD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A061B"/>
    <w:multiLevelType w:val="hybridMultilevel"/>
    <w:tmpl w:val="6CF8D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A00B5BE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A249B"/>
    <w:multiLevelType w:val="hybridMultilevel"/>
    <w:tmpl w:val="65B0B18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4102456">
    <w:abstractNumId w:val="2"/>
  </w:num>
  <w:num w:numId="2" w16cid:durableId="255753882">
    <w:abstractNumId w:val="21"/>
  </w:num>
  <w:num w:numId="3" w16cid:durableId="2088769470">
    <w:abstractNumId w:val="5"/>
  </w:num>
  <w:num w:numId="4" w16cid:durableId="19679331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0942009">
    <w:abstractNumId w:val="22"/>
  </w:num>
  <w:num w:numId="6" w16cid:durableId="2052723828">
    <w:abstractNumId w:val="7"/>
  </w:num>
  <w:num w:numId="7" w16cid:durableId="514805656">
    <w:abstractNumId w:val="16"/>
  </w:num>
  <w:num w:numId="8" w16cid:durableId="49809391">
    <w:abstractNumId w:val="25"/>
  </w:num>
  <w:num w:numId="9" w16cid:durableId="1852065493">
    <w:abstractNumId w:val="10"/>
  </w:num>
  <w:num w:numId="10" w16cid:durableId="888415039">
    <w:abstractNumId w:val="19"/>
  </w:num>
  <w:num w:numId="11" w16cid:durableId="3627911">
    <w:abstractNumId w:val="4"/>
  </w:num>
  <w:num w:numId="12" w16cid:durableId="1058165690">
    <w:abstractNumId w:val="17"/>
  </w:num>
  <w:num w:numId="13" w16cid:durableId="1080567670">
    <w:abstractNumId w:val="8"/>
  </w:num>
  <w:num w:numId="14" w16cid:durableId="969748562">
    <w:abstractNumId w:val="13"/>
  </w:num>
  <w:num w:numId="15" w16cid:durableId="270823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789722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64072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8769547">
    <w:abstractNumId w:val="0"/>
  </w:num>
  <w:num w:numId="19" w16cid:durableId="2131166780">
    <w:abstractNumId w:val="18"/>
  </w:num>
  <w:num w:numId="20" w16cid:durableId="1409619076">
    <w:abstractNumId w:val="12"/>
  </w:num>
  <w:num w:numId="21" w16cid:durableId="1389843614">
    <w:abstractNumId w:val="11"/>
  </w:num>
  <w:num w:numId="22" w16cid:durableId="1764061807">
    <w:abstractNumId w:val="20"/>
  </w:num>
  <w:num w:numId="23" w16cid:durableId="52587155">
    <w:abstractNumId w:val="9"/>
  </w:num>
  <w:num w:numId="24" w16cid:durableId="118555411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60"/>
    <w:rsid w:val="0000063D"/>
    <w:rsid w:val="00001355"/>
    <w:rsid w:val="00004E94"/>
    <w:rsid w:val="000065A5"/>
    <w:rsid w:val="00007975"/>
    <w:rsid w:val="00010F13"/>
    <w:rsid w:val="00011E64"/>
    <w:rsid w:val="000125DB"/>
    <w:rsid w:val="00015123"/>
    <w:rsid w:val="0001778F"/>
    <w:rsid w:val="00024A81"/>
    <w:rsid w:val="00026691"/>
    <w:rsid w:val="000269CE"/>
    <w:rsid w:val="000322C7"/>
    <w:rsid w:val="00034702"/>
    <w:rsid w:val="00036EA7"/>
    <w:rsid w:val="0003727D"/>
    <w:rsid w:val="000418D1"/>
    <w:rsid w:val="00043F84"/>
    <w:rsid w:val="00044964"/>
    <w:rsid w:val="00050F66"/>
    <w:rsid w:val="000529BF"/>
    <w:rsid w:val="00053DA6"/>
    <w:rsid w:val="00054052"/>
    <w:rsid w:val="000600C6"/>
    <w:rsid w:val="00060B7C"/>
    <w:rsid w:val="000611B9"/>
    <w:rsid w:val="00064A4D"/>
    <w:rsid w:val="00065032"/>
    <w:rsid w:val="00072E70"/>
    <w:rsid w:val="000734BD"/>
    <w:rsid w:val="00081325"/>
    <w:rsid w:val="00085182"/>
    <w:rsid w:val="00090275"/>
    <w:rsid w:val="000921F6"/>
    <w:rsid w:val="00096269"/>
    <w:rsid w:val="00096CE1"/>
    <w:rsid w:val="00097785"/>
    <w:rsid w:val="000A34EA"/>
    <w:rsid w:val="000A612A"/>
    <w:rsid w:val="000A66CD"/>
    <w:rsid w:val="000B129F"/>
    <w:rsid w:val="000B18D3"/>
    <w:rsid w:val="000C1EF0"/>
    <w:rsid w:val="000C3868"/>
    <w:rsid w:val="000C425E"/>
    <w:rsid w:val="000C62A5"/>
    <w:rsid w:val="000D132D"/>
    <w:rsid w:val="000D28B3"/>
    <w:rsid w:val="000D4FFE"/>
    <w:rsid w:val="000D60B1"/>
    <w:rsid w:val="000D6B53"/>
    <w:rsid w:val="000D7CB8"/>
    <w:rsid w:val="000E17B3"/>
    <w:rsid w:val="000E29D0"/>
    <w:rsid w:val="000E3081"/>
    <w:rsid w:val="000E32C8"/>
    <w:rsid w:val="000E37A0"/>
    <w:rsid w:val="000E3D35"/>
    <w:rsid w:val="000E7F23"/>
    <w:rsid w:val="000F0BCC"/>
    <w:rsid w:val="000F0F8C"/>
    <w:rsid w:val="000F1186"/>
    <w:rsid w:val="000F31C5"/>
    <w:rsid w:val="000F6649"/>
    <w:rsid w:val="000F6A3E"/>
    <w:rsid w:val="000F774F"/>
    <w:rsid w:val="001028F8"/>
    <w:rsid w:val="00102A85"/>
    <w:rsid w:val="00105561"/>
    <w:rsid w:val="001068F0"/>
    <w:rsid w:val="00107533"/>
    <w:rsid w:val="00107B66"/>
    <w:rsid w:val="00113AA7"/>
    <w:rsid w:val="001152D1"/>
    <w:rsid w:val="00115C02"/>
    <w:rsid w:val="001163EF"/>
    <w:rsid w:val="00116A75"/>
    <w:rsid w:val="00123A9B"/>
    <w:rsid w:val="00124DFD"/>
    <w:rsid w:val="00125384"/>
    <w:rsid w:val="001277FB"/>
    <w:rsid w:val="00131B83"/>
    <w:rsid w:val="00131BB2"/>
    <w:rsid w:val="00133BCE"/>
    <w:rsid w:val="00135F11"/>
    <w:rsid w:val="00142191"/>
    <w:rsid w:val="00143CF8"/>
    <w:rsid w:val="001454EF"/>
    <w:rsid w:val="00151C80"/>
    <w:rsid w:val="00152D89"/>
    <w:rsid w:val="00160755"/>
    <w:rsid w:val="001621B5"/>
    <w:rsid w:val="00165146"/>
    <w:rsid w:val="001701F2"/>
    <w:rsid w:val="00170FBD"/>
    <w:rsid w:val="001719E1"/>
    <w:rsid w:val="001720D9"/>
    <w:rsid w:val="001808D3"/>
    <w:rsid w:val="00181018"/>
    <w:rsid w:val="00181B31"/>
    <w:rsid w:val="0019054A"/>
    <w:rsid w:val="00193B16"/>
    <w:rsid w:val="001940F2"/>
    <w:rsid w:val="00195396"/>
    <w:rsid w:val="00195A1C"/>
    <w:rsid w:val="00195AEA"/>
    <w:rsid w:val="00195B2C"/>
    <w:rsid w:val="0019681B"/>
    <w:rsid w:val="00196E47"/>
    <w:rsid w:val="001A190E"/>
    <w:rsid w:val="001A4DB2"/>
    <w:rsid w:val="001A5BF1"/>
    <w:rsid w:val="001C1024"/>
    <w:rsid w:val="001C5A8E"/>
    <w:rsid w:val="001C7F81"/>
    <w:rsid w:val="001D44E6"/>
    <w:rsid w:val="001D4DFE"/>
    <w:rsid w:val="001D5DFB"/>
    <w:rsid w:val="001E0D9F"/>
    <w:rsid w:val="001E121C"/>
    <w:rsid w:val="001E3FE1"/>
    <w:rsid w:val="001E5AE5"/>
    <w:rsid w:val="001F1C8C"/>
    <w:rsid w:val="001F2435"/>
    <w:rsid w:val="001F3571"/>
    <w:rsid w:val="001F4A05"/>
    <w:rsid w:val="001F5552"/>
    <w:rsid w:val="001F5871"/>
    <w:rsid w:val="001F75A3"/>
    <w:rsid w:val="00200479"/>
    <w:rsid w:val="0020087E"/>
    <w:rsid w:val="0020118F"/>
    <w:rsid w:val="00203972"/>
    <w:rsid w:val="002105F6"/>
    <w:rsid w:val="00212878"/>
    <w:rsid w:val="00215F8C"/>
    <w:rsid w:val="002160A0"/>
    <w:rsid w:val="0021751A"/>
    <w:rsid w:val="00220E51"/>
    <w:rsid w:val="0022242E"/>
    <w:rsid w:val="00224948"/>
    <w:rsid w:val="00230EB3"/>
    <w:rsid w:val="002350BC"/>
    <w:rsid w:val="002351BF"/>
    <w:rsid w:val="00235DCD"/>
    <w:rsid w:val="002376E6"/>
    <w:rsid w:val="002379A7"/>
    <w:rsid w:val="00240290"/>
    <w:rsid w:val="00243DA4"/>
    <w:rsid w:val="00246CA3"/>
    <w:rsid w:val="002556A8"/>
    <w:rsid w:val="0025587E"/>
    <w:rsid w:val="00255965"/>
    <w:rsid w:val="002568D4"/>
    <w:rsid w:val="00257EF5"/>
    <w:rsid w:val="0026051A"/>
    <w:rsid w:val="0026165D"/>
    <w:rsid w:val="00261FB6"/>
    <w:rsid w:val="002651C1"/>
    <w:rsid w:val="00266E67"/>
    <w:rsid w:val="00267CFC"/>
    <w:rsid w:val="0027404B"/>
    <w:rsid w:val="002744AC"/>
    <w:rsid w:val="00274E28"/>
    <w:rsid w:val="002765AE"/>
    <w:rsid w:val="00276819"/>
    <w:rsid w:val="0028260C"/>
    <w:rsid w:val="00286115"/>
    <w:rsid w:val="00286B0C"/>
    <w:rsid w:val="002901CC"/>
    <w:rsid w:val="0029133B"/>
    <w:rsid w:val="00292640"/>
    <w:rsid w:val="002A0929"/>
    <w:rsid w:val="002A2910"/>
    <w:rsid w:val="002A2C17"/>
    <w:rsid w:val="002A4621"/>
    <w:rsid w:val="002A5971"/>
    <w:rsid w:val="002A63AC"/>
    <w:rsid w:val="002A759E"/>
    <w:rsid w:val="002B124A"/>
    <w:rsid w:val="002B65B8"/>
    <w:rsid w:val="002C11A7"/>
    <w:rsid w:val="002C71D9"/>
    <w:rsid w:val="002C7E83"/>
    <w:rsid w:val="002D22B0"/>
    <w:rsid w:val="002D291D"/>
    <w:rsid w:val="002D2ADD"/>
    <w:rsid w:val="002D3B40"/>
    <w:rsid w:val="002E1366"/>
    <w:rsid w:val="002E2849"/>
    <w:rsid w:val="002E2C62"/>
    <w:rsid w:val="002E3702"/>
    <w:rsid w:val="002E6220"/>
    <w:rsid w:val="002F3DE0"/>
    <w:rsid w:val="002F3ED9"/>
    <w:rsid w:val="002F45CC"/>
    <w:rsid w:val="002F47FF"/>
    <w:rsid w:val="002F49BE"/>
    <w:rsid w:val="002F5021"/>
    <w:rsid w:val="0030178E"/>
    <w:rsid w:val="003021C5"/>
    <w:rsid w:val="0030264B"/>
    <w:rsid w:val="00303209"/>
    <w:rsid w:val="00310BAA"/>
    <w:rsid w:val="00311A8B"/>
    <w:rsid w:val="003120E0"/>
    <w:rsid w:val="00312522"/>
    <w:rsid w:val="003133ED"/>
    <w:rsid w:val="003145BE"/>
    <w:rsid w:val="00317523"/>
    <w:rsid w:val="0032000F"/>
    <w:rsid w:val="003229C5"/>
    <w:rsid w:val="003316F8"/>
    <w:rsid w:val="00334669"/>
    <w:rsid w:val="00334DE1"/>
    <w:rsid w:val="00335624"/>
    <w:rsid w:val="003410A8"/>
    <w:rsid w:val="00341763"/>
    <w:rsid w:val="00341D7F"/>
    <w:rsid w:val="00341D92"/>
    <w:rsid w:val="00343302"/>
    <w:rsid w:val="00344AEE"/>
    <w:rsid w:val="003451E5"/>
    <w:rsid w:val="00346D0F"/>
    <w:rsid w:val="0034769B"/>
    <w:rsid w:val="00360BA1"/>
    <w:rsid w:val="003630EA"/>
    <w:rsid w:val="0036336A"/>
    <w:rsid w:val="0036765E"/>
    <w:rsid w:val="0037080D"/>
    <w:rsid w:val="00373634"/>
    <w:rsid w:val="0037468E"/>
    <w:rsid w:val="00374D8F"/>
    <w:rsid w:val="00377312"/>
    <w:rsid w:val="00380073"/>
    <w:rsid w:val="00382A09"/>
    <w:rsid w:val="00382D4B"/>
    <w:rsid w:val="0038371E"/>
    <w:rsid w:val="00391D68"/>
    <w:rsid w:val="003A00C8"/>
    <w:rsid w:val="003A33C9"/>
    <w:rsid w:val="003A4C75"/>
    <w:rsid w:val="003A58F0"/>
    <w:rsid w:val="003A65D1"/>
    <w:rsid w:val="003B261A"/>
    <w:rsid w:val="003B3A73"/>
    <w:rsid w:val="003B5566"/>
    <w:rsid w:val="003B7546"/>
    <w:rsid w:val="003C3EEC"/>
    <w:rsid w:val="003D0C65"/>
    <w:rsid w:val="003D10DE"/>
    <w:rsid w:val="003D1D4A"/>
    <w:rsid w:val="003D4A51"/>
    <w:rsid w:val="003D4CFB"/>
    <w:rsid w:val="003D60B9"/>
    <w:rsid w:val="003D7E06"/>
    <w:rsid w:val="003E1AD7"/>
    <w:rsid w:val="003E1CEE"/>
    <w:rsid w:val="003E2C8D"/>
    <w:rsid w:val="003F3D1D"/>
    <w:rsid w:val="003F7115"/>
    <w:rsid w:val="0040188B"/>
    <w:rsid w:val="00402DB2"/>
    <w:rsid w:val="00404111"/>
    <w:rsid w:val="00404C42"/>
    <w:rsid w:val="00404E7E"/>
    <w:rsid w:val="00417A4A"/>
    <w:rsid w:val="00421F2A"/>
    <w:rsid w:val="00422F2D"/>
    <w:rsid w:val="00423AD3"/>
    <w:rsid w:val="0042513D"/>
    <w:rsid w:val="0042745E"/>
    <w:rsid w:val="0043024C"/>
    <w:rsid w:val="0043087C"/>
    <w:rsid w:val="004352B2"/>
    <w:rsid w:val="00436223"/>
    <w:rsid w:val="00441A91"/>
    <w:rsid w:val="00445396"/>
    <w:rsid w:val="00445E5E"/>
    <w:rsid w:val="004500A1"/>
    <w:rsid w:val="00450BB9"/>
    <w:rsid w:val="004513FB"/>
    <w:rsid w:val="00455F38"/>
    <w:rsid w:val="00474340"/>
    <w:rsid w:val="004748F9"/>
    <w:rsid w:val="00474BB3"/>
    <w:rsid w:val="00475CC2"/>
    <w:rsid w:val="004768C9"/>
    <w:rsid w:val="00480283"/>
    <w:rsid w:val="00481E75"/>
    <w:rsid w:val="00490D48"/>
    <w:rsid w:val="00490DA3"/>
    <w:rsid w:val="00492648"/>
    <w:rsid w:val="00494B4B"/>
    <w:rsid w:val="0049608B"/>
    <w:rsid w:val="0049628C"/>
    <w:rsid w:val="004A13D9"/>
    <w:rsid w:val="004A36AB"/>
    <w:rsid w:val="004A5167"/>
    <w:rsid w:val="004A62A3"/>
    <w:rsid w:val="004B17EF"/>
    <w:rsid w:val="004D2D30"/>
    <w:rsid w:val="004D3241"/>
    <w:rsid w:val="004D3FF0"/>
    <w:rsid w:val="004D47BB"/>
    <w:rsid w:val="004D62CE"/>
    <w:rsid w:val="004D6932"/>
    <w:rsid w:val="004E30E6"/>
    <w:rsid w:val="004F2266"/>
    <w:rsid w:val="004F309F"/>
    <w:rsid w:val="004F3EC5"/>
    <w:rsid w:val="004F7B83"/>
    <w:rsid w:val="005033B3"/>
    <w:rsid w:val="0050431B"/>
    <w:rsid w:val="00504F4B"/>
    <w:rsid w:val="005103FA"/>
    <w:rsid w:val="00510E8D"/>
    <w:rsid w:val="00511BFA"/>
    <w:rsid w:val="005173AC"/>
    <w:rsid w:val="005212F0"/>
    <w:rsid w:val="00521F0B"/>
    <w:rsid w:val="00522D3B"/>
    <w:rsid w:val="0052406E"/>
    <w:rsid w:val="00525153"/>
    <w:rsid w:val="005251DF"/>
    <w:rsid w:val="005257F3"/>
    <w:rsid w:val="005315CB"/>
    <w:rsid w:val="0053304B"/>
    <w:rsid w:val="00534203"/>
    <w:rsid w:val="00534E2D"/>
    <w:rsid w:val="00544B5F"/>
    <w:rsid w:val="00550389"/>
    <w:rsid w:val="00552482"/>
    <w:rsid w:val="005530F8"/>
    <w:rsid w:val="00553A80"/>
    <w:rsid w:val="00554F99"/>
    <w:rsid w:val="00571457"/>
    <w:rsid w:val="00571723"/>
    <w:rsid w:val="0057494A"/>
    <w:rsid w:val="005754D4"/>
    <w:rsid w:val="00576AB8"/>
    <w:rsid w:val="00581340"/>
    <w:rsid w:val="0058221B"/>
    <w:rsid w:val="0058646A"/>
    <w:rsid w:val="00587FAE"/>
    <w:rsid w:val="00595130"/>
    <w:rsid w:val="005A1855"/>
    <w:rsid w:val="005A3844"/>
    <w:rsid w:val="005A4781"/>
    <w:rsid w:val="005A6AE1"/>
    <w:rsid w:val="005B098D"/>
    <w:rsid w:val="005B0DC6"/>
    <w:rsid w:val="005B1FB8"/>
    <w:rsid w:val="005B3449"/>
    <w:rsid w:val="005B3958"/>
    <w:rsid w:val="005B5174"/>
    <w:rsid w:val="005B5D9C"/>
    <w:rsid w:val="005B5E28"/>
    <w:rsid w:val="005B79A3"/>
    <w:rsid w:val="005C2BAF"/>
    <w:rsid w:val="005C4658"/>
    <w:rsid w:val="005C6F79"/>
    <w:rsid w:val="005D04A1"/>
    <w:rsid w:val="005D6979"/>
    <w:rsid w:val="005E004E"/>
    <w:rsid w:val="005E0ED8"/>
    <w:rsid w:val="005E321B"/>
    <w:rsid w:val="005E66D8"/>
    <w:rsid w:val="005F1DC7"/>
    <w:rsid w:val="005F34C7"/>
    <w:rsid w:val="005F5D45"/>
    <w:rsid w:val="00600C49"/>
    <w:rsid w:val="00605261"/>
    <w:rsid w:val="006071D9"/>
    <w:rsid w:val="00610DF4"/>
    <w:rsid w:val="006129D5"/>
    <w:rsid w:val="0061346D"/>
    <w:rsid w:val="00613C4E"/>
    <w:rsid w:val="0061405F"/>
    <w:rsid w:val="00615221"/>
    <w:rsid w:val="00630CCD"/>
    <w:rsid w:val="00631F0A"/>
    <w:rsid w:val="006329A0"/>
    <w:rsid w:val="00633649"/>
    <w:rsid w:val="0063542E"/>
    <w:rsid w:val="006408DC"/>
    <w:rsid w:val="0064097A"/>
    <w:rsid w:val="00643EAE"/>
    <w:rsid w:val="00645311"/>
    <w:rsid w:val="006513DA"/>
    <w:rsid w:val="0065616C"/>
    <w:rsid w:val="006578B1"/>
    <w:rsid w:val="00657B6D"/>
    <w:rsid w:val="006606BC"/>
    <w:rsid w:val="00661475"/>
    <w:rsid w:val="006615CA"/>
    <w:rsid w:val="00666C65"/>
    <w:rsid w:val="00667C0A"/>
    <w:rsid w:val="0067440C"/>
    <w:rsid w:val="006758A3"/>
    <w:rsid w:val="006779D0"/>
    <w:rsid w:val="0068215F"/>
    <w:rsid w:val="0068227F"/>
    <w:rsid w:val="00683E24"/>
    <w:rsid w:val="006870C0"/>
    <w:rsid w:val="00693E36"/>
    <w:rsid w:val="006944AF"/>
    <w:rsid w:val="00695032"/>
    <w:rsid w:val="00695ECA"/>
    <w:rsid w:val="006965E2"/>
    <w:rsid w:val="00697A53"/>
    <w:rsid w:val="006A12CC"/>
    <w:rsid w:val="006A1AFF"/>
    <w:rsid w:val="006A1B9F"/>
    <w:rsid w:val="006A222A"/>
    <w:rsid w:val="006A2727"/>
    <w:rsid w:val="006A2779"/>
    <w:rsid w:val="006A382D"/>
    <w:rsid w:val="006A4205"/>
    <w:rsid w:val="006A698E"/>
    <w:rsid w:val="006C5339"/>
    <w:rsid w:val="006C5DD0"/>
    <w:rsid w:val="006C6ED4"/>
    <w:rsid w:val="006D1D7B"/>
    <w:rsid w:val="006D397E"/>
    <w:rsid w:val="006E1112"/>
    <w:rsid w:val="006E1289"/>
    <w:rsid w:val="006E35CD"/>
    <w:rsid w:val="006E7FDD"/>
    <w:rsid w:val="006F1931"/>
    <w:rsid w:val="006F5B92"/>
    <w:rsid w:val="006F6AD3"/>
    <w:rsid w:val="00711269"/>
    <w:rsid w:val="00711275"/>
    <w:rsid w:val="007128B1"/>
    <w:rsid w:val="0071539E"/>
    <w:rsid w:val="0071630D"/>
    <w:rsid w:val="00732859"/>
    <w:rsid w:val="007371D2"/>
    <w:rsid w:val="0073751A"/>
    <w:rsid w:val="00744C1C"/>
    <w:rsid w:val="0074727D"/>
    <w:rsid w:val="0075382A"/>
    <w:rsid w:val="007538FB"/>
    <w:rsid w:val="00763BE8"/>
    <w:rsid w:val="007665D4"/>
    <w:rsid w:val="00766C34"/>
    <w:rsid w:val="007726F3"/>
    <w:rsid w:val="00773FE0"/>
    <w:rsid w:val="0078187E"/>
    <w:rsid w:val="00782FCE"/>
    <w:rsid w:val="00793186"/>
    <w:rsid w:val="0079373E"/>
    <w:rsid w:val="00796637"/>
    <w:rsid w:val="007A2687"/>
    <w:rsid w:val="007A4D4C"/>
    <w:rsid w:val="007A7125"/>
    <w:rsid w:val="007B2390"/>
    <w:rsid w:val="007B6443"/>
    <w:rsid w:val="007B7721"/>
    <w:rsid w:val="007C02D4"/>
    <w:rsid w:val="007C1379"/>
    <w:rsid w:val="007C3022"/>
    <w:rsid w:val="007C6A0F"/>
    <w:rsid w:val="007C782D"/>
    <w:rsid w:val="007D0210"/>
    <w:rsid w:val="007D1B95"/>
    <w:rsid w:val="007E24C5"/>
    <w:rsid w:val="007E2BF7"/>
    <w:rsid w:val="007E57C3"/>
    <w:rsid w:val="007E6FD2"/>
    <w:rsid w:val="007E760F"/>
    <w:rsid w:val="007F1537"/>
    <w:rsid w:val="007F21C8"/>
    <w:rsid w:val="007F6400"/>
    <w:rsid w:val="00804462"/>
    <w:rsid w:val="00804B49"/>
    <w:rsid w:val="00805433"/>
    <w:rsid w:val="008076F3"/>
    <w:rsid w:val="0081063A"/>
    <w:rsid w:val="0081384C"/>
    <w:rsid w:val="008139FD"/>
    <w:rsid w:val="008148CE"/>
    <w:rsid w:val="008161D6"/>
    <w:rsid w:val="0081631C"/>
    <w:rsid w:val="0082117E"/>
    <w:rsid w:val="00821446"/>
    <w:rsid w:val="00822944"/>
    <w:rsid w:val="00823CAC"/>
    <w:rsid w:val="008241A8"/>
    <w:rsid w:val="00826CD1"/>
    <w:rsid w:val="008334B0"/>
    <w:rsid w:val="008448DC"/>
    <w:rsid w:val="00854D19"/>
    <w:rsid w:val="00855FF7"/>
    <w:rsid w:val="008567D7"/>
    <w:rsid w:val="008570FE"/>
    <w:rsid w:val="00857139"/>
    <w:rsid w:val="00862B0A"/>
    <w:rsid w:val="00863B0B"/>
    <w:rsid w:val="00864088"/>
    <w:rsid w:val="00864FB6"/>
    <w:rsid w:val="008714F9"/>
    <w:rsid w:val="008716ED"/>
    <w:rsid w:val="00877DDE"/>
    <w:rsid w:val="00881CD0"/>
    <w:rsid w:val="0088576A"/>
    <w:rsid w:val="00897A26"/>
    <w:rsid w:val="008A3C18"/>
    <w:rsid w:val="008A631C"/>
    <w:rsid w:val="008B162C"/>
    <w:rsid w:val="008B18A7"/>
    <w:rsid w:val="008B3536"/>
    <w:rsid w:val="008B3DE2"/>
    <w:rsid w:val="008B3E54"/>
    <w:rsid w:val="008B4EA4"/>
    <w:rsid w:val="008B5752"/>
    <w:rsid w:val="008B71BB"/>
    <w:rsid w:val="008B7DE8"/>
    <w:rsid w:val="008C03B2"/>
    <w:rsid w:val="008C10E6"/>
    <w:rsid w:val="008C1147"/>
    <w:rsid w:val="008C6A86"/>
    <w:rsid w:val="008C7520"/>
    <w:rsid w:val="008C75A9"/>
    <w:rsid w:val="008D1DF5"/>
    <w:rsid w:val="008D2075"/>
    <w:rsid w:val="008D6D5D"/>
    <w:rsid w:val="008D749E"/>
    <w:rsid w:val="008D7AA6"/>
    <w:rsid w:val="008E01DB"/>
    <w:rsid w:val="008E292D"/>
    <w:rsid w:val="008E7A22"/>
    <w:rsid w:val="008F088E"/>
    <w:rsid w:val="008F0A50"/>
    <w:rsid w:val="008F18B7"/>
    <w:rsid w:val="008F1F4B"/>
    <w:rsid w:val="008F2E33"/>
    <w:rsid w:val="00901819"/>
    <w:rsid w:val="00904825"/>
    <w:rsid w:val="009105D3"/>
    <w:rsid w:val="0092282B"/>
    <w:rsid w:val="009237C4"/>
    <w:rsid w:val="0092556C"/>
    <w:rsid w:val="00927B75"/>
    <w:rsid w:val="00930F1A"/>
    <w:rsid w:val="009342AD"/>
    <w:rsid w:val="00937F1C"/>
    <w:rsid w:val="00940D9B"/>
    <w:rsid w:val="00940FC9"/>
    <w:rsid w:val="00941ED4"/>
    <w:rsid w:val="00944A67"/>
    <w:rsid w:val="00944E33"/>
    <w:rsid w:val="00962257"/>
    <w:rsid w:val="009642BF"/>
    <w:rsid w:val="009706A3"/>
    <w:rsid w:val="00972D6A"/>
    <w:rsid w:val="00975106"/>
    <w:rsid w:val="00975C70"/>
    <w:rsid w:val="009849B8"/>
    <w:rsid w:val="00986793"/>
    <w:rsid w:val="00987078"/>
    <w:rsid w:val="00990ECA"/>
    <w:rsid w:val="00994587"/>
    <w:rsid w:val="009A3C7A"/>
    <w:rsid w:val="009A3CF9"/>
    <w:rsid w:val="009A3F30"/>
    <w:rsid w:val="009B53C2"/>
    <w:rsid w:val="009C091D"/>
    <w:rsid w:val="009C1244"/>
    <w:rsid w:val="009C564A"/>
    <w:rsid w:val="009C7D8F"/>
    <w:rsid w:val="009D1F7B"/>
    <w:rsid w:val="009D2BF0"/>
    <w:rsid w:val="009D330C"/>
    <w:rsid w:val="009D486F"/>
    <w:rsid w:val="009D7839"/>
    <w:rsid w:val="009D7DE5"/>
    <w:rsid w:val="009D7FC9"/>
    <w:rsid w:val="009E1E4E"/>
    <w:rsid w:val="009E78AE"/>
    <w:rsid w:val="009F3420"/>
    <w:rsid w:val="009F4B92"/>
    <w:rsid w:val="009F5668"/>
    <w:rsid w:val="00A00571"/>
    <w:rsid w:val="00A0670D"/>
    <w:rsid w:val="00A102D5"/>
    <w:rsid w:val="00A132C7"/>
    <w:rsid w:val="00A139B5"/>
    <w:rsid w:val="00A2181A"/>
    <w:rsid w:val="00A21DDF"/>
    <w:rsid w:val="00A236C6"/>
    <w:rsid w:val="00A33A8D"/>
    <w:rsid w:val="00A34331"/>
    <w:rsid w:val="00A34C2D"/>
    <w:rsid w:val="00A47A8A"/>
    <w:rsid w:val="00A47F0B"/>
    <w:rsid w:val="00A50FC1"/>
    <w:rsid w:val="00A539E9"/>
    <w:rsid w:val="00A53BB0"/>
    <w:rsid w:val="00A5555D"/>
    <w:rsid w:val="00A562F9"/>
    <w:rsid w:val="00A56E93"/>
    <w:rsid w:val="00A61975"/>
    <w:rsid w:val="00A65940"/>
    <w:rsid w:val="00A70224"/>
    <w:rsid w:val="00A73439"/>
    <w:rsid w:val="00A804F6"/>
    <w:rsid w:val="00A81E8A"/>
    <w:rsid w:val="00A879C3"/>
    <w:rsid w:val="00A90CFF"/>
    <w:rsid w:val="00A9116B"/>
    <w:rsid w:val="00A91884"/>
    <w:rsid w:val="00A92FA9"/>
    <w:rsid w:val="00A95C30"/>
    <w:rsid w:val="00AA2981"/>
    <w:rsid w:val="00AA2DDE"/>
    <w:rsid w:val="00AA4FA0"/>
    <w:rsid w:val="00AA55FD"/>
    <w:rsid w:val="00AB1145"/>
    <w:rsid w:val="00AB13A8"/>
    <w:rsid w:val="00AB3752"/>
    <w:rsid w:val="00AB626B"/>
    <w:rsid w:val="00AC185C"/>
    <w:rsid w:val="00AC46EA"/>
    <w:rsid w:val="00AC593A"/>
    <w:rsid w:val="00AC66FE"/>
    <w:rsid w:val="00AD07ED"/>
    <w:rsid w:val="00AD4A0B"/>
    <w:rsid w:val="00AE07E6"/>
    <w:rsid w:val="00AE0DB0"/>
    <w:rsid w:val="00AE744F"/>
    <w:rsid w:val="00AF01A0"/>
    <w:rsid w:val="00AF2EB8"/>
    <w:rsid w:val="00AF5321"/>
    <w:rsid w:val="00AF6637"/>
    <w:rsid w:val="00AF6D97"/>
    <w:rsid w:val="00B0425A"/>
    <w:rsid w:val="00B05B13"/>
    <w:rsid w:val="00B05D3A"/>
    <w:rsid w:val="00B103E3"/>
    <w:rsid w:val="00B13C09"/>
    <w:rsid w:val="00B2024A"/>
    <w:rsid w:val="00B222B8"/>
    <w:rsid w:val="00B24499"/>
    <w:rsid w:val="00B25DBD"/>
    <w:rsid w:val="00B27364"/>
    <w:rsid w:val="00B31341"/>
    <w:rsid w:val="00B3177A"/>
    <w:rsid w:val="00B31EF9"/>
    <w:rsid w:val="00B331B2"/>
    <w:rsid w:val="00B34878"/>
    <w:rsid w:val="00B37D34"/>
    <w:rsid w:val="00B4128E"/>
    <w:rsid w:val="00B46A12"/>
    <w:rsid w:val="00B50387"/>
    <w:rsid w:val="00B517B4"/>
    <w:rsid w:val="00B60244"/>
    <w:rsid w:val="00B62010"/>
    <w:rsid w:val="00B63083"/>
    <w:rsid w:val="00B630E5"/>
    <w:rsid w:val="00B67B5D"/>
    <w:rsid w:val="00B75D01"/>
    <w:rsid w:val="00B7621C"/>
    <w:rsid w:val="00B84E77"/>
    <w:rsid w:val="00B90C41"/>
    <w:rsid w:val="00B910C3"/>
    <w:rsid w:val="00B92954"/>
    <w:rsid w:val="00B969C3"/>
    <w:rsid w:val="00BA457C"/>
    <w:rsid w:val="00BA46A4"/>
    <w:rsid w:val="00BA4C12"/>
    <w:rsid w:val="00BB1108"/>
    <w:rsid w:val="00BB2108"/>
    <w:rsid w:val="00BB4551"/>
    <w:rsid w:val="00BB4CE5"/>
    <w:rsid w:val="00BB6DDD"/>
    <w:rsid w:val="00BB71D8"/>
    <w:rsid w:val="00BC18A3"/>
    <w:rsid w:val="00BC34DD"/>
    <w:rsid w:val="00BC3AFA"/>
    <w:rsid w:val="00BC4098"/>
    <w:rsid w:val="00BC419C"/>
    <w:rsid w:val="00BC620A"/>
    <w:rsid w:val="00BC766F"/>
    <w:rsid w:val="00BC77D7"/>
    <w:rsid w:val="00BD06AB"/>
    <w:rsid w:val="00BD3661"/>
    <w:rsid w:val="00BD6593"/>
    <w:rsid w:val="00BE07E4"/>
    <w:rsid w:val="00BE0FD3"/>
    <w:rsid w:val="00BE297F"/>
    <w:rsid w:val="00BE29CA"/>
    <w:rsid w:val="00BE39FE"/>
    <w:rsid w:val="00BE41ED"/>
    <w:rsid w:val="00BE4334"/>
    <w:rsid w:val="00BE77C3"/>
    <w:rsid w:val="00BF3381"/>
    <w:rsid w:val="00BF3B1E"/>
    <w:rsid w:val="00BF46E3"/>
    <w:rsid w:val="00BF5387"/>
    <w:rsid w:val="00BF7784"/>
    <w:rsid w:val="00BF7BDF"/>
    <w:rsid w:val="00C0012E"/>
    <w:rsid w:val="00C00CD3"/>
    <w:rsid w:val="00C02C4A"/>
    <w:rsid w:val="00C0625A"/>
    <w:rsid w:val="00C11C1E"/>
    <w:rsid w:val="00C142E9"/>
    <w:rsid w:val="00C146C1"/>
    <w:rsid w:val="00C16B23"/>
    <w:rsid w:val="00C171D6"/>
    <w:rsid w:val="00C17937"/>
    <w:rsid w:val="00C208B1"/>
    <w:rsid w:val="00C22670"/>
    <w:rsid w:val="00C226C8"/>
    <w:rsid w:val="00C23174"/>
    <w:rsid w:val="00C26EBD"/>
    <w:rsid w:val="00C33126"/>
    <w:rsid w:val="00C36F56"/>
    <w:rsid w:val="00C375AB"/>
    <w:rsid w:val="00C40E8E"/>
    <w:rsid w:val="00C41213"/>
    <w:rsid w:val="00C4655B"/>
    <w:rsid w:val="00C476EE"/>
    <w:rsid w:val="00C47FC5"/>
    <w:rsid w:val="00C50DFC"/>
    <w:rsid w:val="00C54686"/>
    <w:rsid w:val="00C61DCB"/>
    <w:rsid w:val="00C61E12"/>
    <w:rsid w:val="00C621A7"/>
    <w:rsid w:val="00C645A7"/>
    <w:rsid w:val="00C65CEE"/>
    <w:rsid w:val="00C663D6"/>
    <w:rsid w:val="00C6677F"/>
    <w:rsid w:val="00C6724A"/>
    <w:rsid w:val="00C73131"/>
    <w:rsid w:val="00C81DA3"/>
    <w:rsid w:val="00C82A97"/>
    <w:rsid w:val="00C869C0"/>
    <w:rsid w:val="00C9035A"/>
    <w:rsid w:val="00C91711"/>
    <w:rsid w:val="00C97149"/>
    <w:rsid w:val="00CA17DA"/>
    <w:rsid w:val="00CA1FE5"/>
    <w:rsid w:val="00CA39FA"/>
    <w:rsid w:val="00CA49D1"/>
    <w:rsid w:val="00CA4B3D"/>
    <w:rsid w:val="00CA57AC"/>
    <w:rsid w:val="00CA6068"/>
    <w:rsid w:val="00CB0C2B"/>
    <w:rsid w:val="00CB1DB4"/>
    <w:rsid w:val="00CB1ECB"/>
    <w:rsid w:val="00CB23C6"/>
    <w:rsid w:val="00CB2711"/>
    <w:rsid w:val="00CB37AE"/>
    <w:rsid w:val="00CB3984"/>
    <w:rsid w:val="00CB6012"/>
    <w:rsid w:val="00CC5863"/>
    <w:rsid w:val="00CD5244"/>
    <w:rsid w:val="00CD63C4"/>
    <w:rsid w:val="00CE2486"/>
    <w:rsid w:val="00CE2F5D"/>
    <w:rsid w:val="00CE3E92"/>
    <w:rsid w:val="00CE67D1"/>
    <w:rsid w:val="00CE7076"/>
    <w:rsid w:val="00CF1D79"/>
    <w:rsid w:val="00CF2664"/>
    <w:rsid w:val="00CF2EA5"/>
    <w:rsid w:val="00CF34BB"/>
    <w:rsid w:val="00CF3CFB"/>
    <w:rsid w:val="00D00A54"/>
    <w:rsid w:val="00D0131A"/>
    <w:rsid w:val="00D0169F"/>
    <w:rsid w:val="00D022E2"/>
    <w:rsid w:val="00D02788"/>
    <w:rsid w:val="00D05838"/>
    <w:rsid w:val="00D06E9E"/>
    <w:rsid w:val="00D10622"/>
    <w:rsid w:val="00D13193"/>
    <w:rsid w:val="00D1472D"/>
    <w:rsid w:val="00D16784"/>
    <w:rsid w:val="00D173F6"/>
    <w:rsid w:val="00D17579"/>
    <w:rsid w:val="00D24232"/>
    <w:rsid w:val="00D266F6"/>
    <w:rsid w:val="00D3021F"/>
    <w:rsid w:val="00D31C7A"/>
    <w:rsid w:val="00D341D0"/>
    <w:rsid w:val="00D402F6"/>
    <w:rsid w:val="00D403F8"/>
    <w:rsid w:val="00D419F5"/>
    <w:rsid w:val="00D41D2E"/>
    <w:rsid w:val="00D4474E"/>
    <w:rsid w:val="00D44AFE"/>
    <w:rsid w:val="00D45288"/>
    <w:rsid w:val="00D46391"/>
    <w:rsid w:val="00D46C07"/>
    <w:rsid w:val="00D46D58"/>
    <w:rsid w:val="00D47B66"/>
    <w:rsid w:val="00D5519E"/>
    <w:rsid w:val="00D57368"/>
    <w:rsid w:val="00D579FD"/>
    <w:rsid w:val="00D57E44"/>
    <w:rsid w:val="00D60485"/>
    <w:rsid w:val="00D6087F"/>
    <w:rsid w:val="00D631D7"/>
    <w:rsid w:val="00D64477"/>
    <w:rsid w:val="00D64A2D"/>
    <w:rsid w:val="00D64C30"/>
    <w:rsid w:val="00D65BD8"/>
    <w:rsid w:val="00D706DB"/>
    <w:rsid w:val="00D70984"/>
    <w:rsid w:val="00D70AE7"/>
    <w:rsid w:val="00D70C4B"/>
    <w:rsid w:val="00D7267A"/>
    <w:rsid w:val="00D804C0"/>
    <w:rsid w:val="00D81F68"/>
    <w:rsid w:val="00D83464"/>
    <w:rsid w:val="00D8598B"/>
    <w:rsid w:val="00D85F57"/>
    <w:rsid w:val="00D87F2B"/>
    <w:rsid w:val="00D90D4C"/>
    <w:rsid w:val="00D9141B"/>
    <w:rsid w:val="00D92B48"/>
    <w:rsid w:val="00D95125"/>
    <w:rsid w:val="00DA0CC8"/>
    <w:rsid w:val="00DB0959"/>
    <w:rsid w:val="00DB1926"/>
    <w:rsid w:val="00DB3007"/>
    <w:rsid w:val="00DB5C74"/>
    <w:rsid w:val="00DB5D4B"/>
    <w:rsid w:val="00DB5D9E"/>
    <w:rsid w:val="00DB63C9"/>
    <w:rsid w:val="00DD7EA5"/>
    <w:rsid w:val="00DE05EE"/>
    <w:rsid w:val="00DE205B"/>
    <w:rsid w:val="00DE23B8"/>
    <w:rsid w:val="00DE4029"/>
    <w:rsid w:val="00DE685F"/>
    <w:rsid w:val="00DF1D21"/>
    <w:rsid w:val="00DF47D2"/>
    <w:rsid w:val="00DF52D6"/>
    <w:rsid w:val="00DF5DCD"/>
    <w:rsid w:val="00E01C9A"/>
    <w:rsid w:val="00E01FD8"/>
    <w:rsid w:val="00E02AB3"/>
    <w:rsid w:val="00E10872"/>
    <w:rsid w:val="00E1158C"/>
    <w:rsid w:val="00E12C8A"/>
    <w:rsid w:val="00E15871"/>
    <w:rsid w:val="00E2089C"/>
    <w:rsid w:val="00E2315D"/>
    <w:rsid w:val="00E23703"/>
    <w:rsid w:val="00E25DFE"/>
    <w:rsid w:val="00E304F4"/>
    <w:rsid w:val="00E305F3"/>
    <w:rsid w:val="00E330AA"/>
    <w:rsid w:val="00E341F5"/>
    <w:rsid w:val="00E34477"/>
    <w:rsid w:val="00E346FE"/>
    <w:rsid w:val="00E36C8E"/>
    <w:rsid w:val="00E44465"/>
    <w:rsid w:val="00E50404"/>
    <w:rsid w:val="00E5080E"/>
    <w:rsid w:val="00E516D9"/>
    <w:rsid w:val="00E52759"/>
    <w:rsid w:val="00E53231"/>
    <w:rsid w:val="00E62F97"/>
    <w:rsid w:val="00E651AE"/>
    <w:rsid w:val="00E657A8"/>
    <w:rsid w:val="00E66F69"/>
    <w:rsid w:val="00E729A7"/>
    <w:rsid w:val="00E72D04"/>
    <w:rsid w:val="00E74FC0"/>
    <w:rsid w:val="00E7614E"/>
    <w:rsid w:val="00E85E42"/>
    <w:rsid w:val="00E940F6"/>
    <w:rsid w:val="00EA15AC"/>
    <w:rsid w:val="00EA17CD"/>
    <w:rsid w:val="00EA4ED3"/>
    <w:rsid w:val="00EA644E"/>
    <w:rsid w:val="00EA703E"/>
    <w:rsid w:val="00EB07FF"/>
    <w:rsid w:val="00EB3A39"/>
    <w:rsid w:val="00EB3ED5"/>
    <w:rsid w:val="00EB55F8"/>
    <w:rsid w:val="00EC028B"/>
    <w:rsid w:val="00EC4EAC"/>
    <w:rsid w:val="00ED3EFA"/>
    <w:rsid w:val="00ED4191"/>
    <w:rsid w:val="00ED660F"/>
    <w:rsid w:val="00ED7511"/>
    <w:rsid w:val="00EE08AE"/>
    <w:rsid w:val="00EE0F12"/>
    <w:rsid w:val="00EE1C76"/>
    <w:rsid w:val="00EE1F92"/>
    <w:rsid w:val="00EE2A61"/>
    <w:rsid w:val="00EE48C4"/>
    <w:rsid w:val="00EF04C2"/>
    <w:rsid w:val="00EF47CA"/>
    <w:rsid w:val="00EF6165"/>
    <w:rsid w:val="00F02469"/>
    <w:rsid w:val="00F0523B"/>
    <w:rsid w:val="00F0550D"/>
    <w:rsid w:val="00F05EEE"/>
    <w:rsid w:val="00F1119F"/>
    <w:rsid w:val="00F16AD2"/>
    <w:rsid w:val="00F17878"/>
    <w:rsid w:val="00F217DF"/>
    <w:rsid w:val="00F24216"/>
    <w:rsid w:val="00F27996"/>
    <w:rsid w:val="00F27A25"/>
    <w:rsid w:val="00F27D69"/>
    <w:rsid w:val="00F3171B"/>
    <w:rsid w:val="00F31D4C"/>
    <w:rsid w:val="00F403B4"/>
    <w:rsid w:val="00F418FE"/>
    <w:rsid w:val="00F419F6"/>
    <w:rsid w:val="00F41F10"/>
    <w:rsid w:val="00F435B0"/>
    <w:rsid w:val="00F44D63"/>
    <w:rsid w:val="00F45E5B"/>
    <w:rsid w:val="00F470FA"/>
    <w:rsid w:val="00F476F5"/>
    <w:rsid w:val="00F50900"/>
    <w:rsid w:val="00F54358"/>
    <w:rsid w:val="00F57C0B"/>
    <w:rsid w:val="00F618AF"/>
    <w:rsid w:val="00F63C22"/>
    <w:rsid w:val="00F64846"/>
    <w:rsid w:val="00F6500E"/>
    <w:rsid w:val="00F726F3"/>
    <w:rsid w:val="00F741A5"/>
    <w:rsid w:val="00F84AC9"/>
    <w:rsid w:val="00F8593F"/>
    <w:rsid w:val="00F85940"/>
    <w:rsid w:val="00F871BA"/>
    <w:rsid w:val="00F937B6"/>
    <w:rsid w:val="00F97C60"/>
    <w:rsid w:val="00FA586A"/>
    <w:rsid w:val="00FA6ED7"/>
    <w:rsid w:val="00FB0890"/>
    <w:rsid w:val="00FB10E2"/>
    <w:rsid w:val="00FB7B70"/>
    <w:rsid w:val="00FC1BF0"/>
    <w:rsid w:val="00FC4A2E"/>
    <w:rsid w:val="00FC5EFB"/>
    <w:rsid w:val="00FC6EA9"/>
    <w:rsid w:val="00FC752C"/>
    <w:rsid w:val="00FD0D99"/>
    <w:rsid w:val="00FD2680"/>
    <w:rsid w:val="00FD5549"/>
    <w:rsid w:val="00FD5E72"/>
    <w:rsid w:val="00FD6E9C"/>
    <w:rsid w:val="00FD7887"/>
    <w:rsid w:val="00FE1711"/>
    <w:rsid w:val="00FE3A4F"/>
    <w:rsid w:val="00FE48DB"/>
    <w:rsid w:val="00FE5F5F"/>
    <w:rsid w:val="00FE5FD1"/>
    <w:rsid w:val="00FE73A6"/>
    <w:rsid w:val="00FF1137"/>
    <w:rsid w:val="00FF12BD"/>
    <w:rsid w:val="00FF1CAD"/>
    <w:rsid w:val="00FF228F"/>
    <w:rsid w:val="00FF486A"/>
    <w:rsid w:val="00FF498A"/>
    <w:rsid w:val="00FF5884"/>
    <w:rsid w:val="00FF6199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72003D"/>
  <w15:docId w15:val="{4860748D-069A-44F1-9854-0CAE93E5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D4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7C60"/>
    <w:pPr>
      <w:keepNext/>
      <w:outlineLvl w:val="0"/>
    </w:pPr>
    <w:rPr>
      <w:b/>
      <w:i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195B2C"/>
    <w:pPr>
      <w:keepNext/>
      <w:keepLines/>
      <w:widowControl w:val="0"/>
      <w:suppressAutoHyphens/>
      <w:autoSpaceDN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F486A"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rsid w:val="00F97C60"/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331B2"/>
    <w:rPr>
      <w:rFonts w:cs="Times New Roman"/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F97C60"/>
    <w:rPr>
      <w:sz w:val="23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F486A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F97C60"/>
    <w:pPr>
      <w:jc w:val="both"/>
    </w:pPr>
    <w:rPr>
      <w:sz w:val="23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F486A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F97C6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FF486A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97C60"/>
    <w:pPr>
      <w:ind w:left="360" w:hanging="360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F486A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64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486A"/>
    <w:rPr>
      <w:rFonts w:cs="Times New Roman"/>
      <w:sz w:val="2"/>
    </w:rPr>
  </w:style>
  <w:style w:type="paragraph" w:customStyle="1" w:styleId="bodytext2">
    <w:name w:val="bodytext2"/>
    <w:basedOn w:val="Normalny"/>
    <w:uiPriority w:val="99"/>
    <w:rsid w:val="001701F2"/>
    <w:pPr>
      <w:jc w:val="both"/>
    </w:pPr>
  </w:style>
  <w:style w:type="paragraph" w:styleId="Stopka">
    <w:name w:val="footer"/>
    <w:basedOn w:val="Normalny"/>
    <w:link w:val="StopkaZnak"/>
    <w:uiPriority w:val="99"/>
    <w:rsid w:val="005315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315CB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52406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40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05D3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40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F486A"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E12C8A"/>
    <w:rPr>
      <w:rFonts w:cs="Times New Roman"/>
      <w:color w:val="407FBC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7E760F"/>
    <w:pPr>
      <w:ind w:left="708"/>
    </w:pPr>
  </w:style>
  <w:style w:type="paragraph" w:customStyle="1" w:styleId="Pa4">
    <w:name w:val="Pa4"/>
    <w:basedOn w:val="Normalny"/>
    <w:next w:val="Normalny"/>
    <w:uiPriority w:val="99"/>
    <w:rsid w:val="00181018"/>
    <w:pPr>
      <w:autoSpaceDE w:val="0"/>
      <w:autoSpaceDN w:val="0"/>
      <w:adjustRightInd w:val="0"/>
      <w:spacing w:line="161" w:lineRule="atLeast"/>
    </w:pPr>
    <w:rPr>
      <w:rFonts w:ascii="Arial" w:hAnsi="Arial" w:cs="Arial"/>
      <w:lang w:eastAsia="en-US"/>
    </w:rPr>
  </w:style>
  <w:style w:type="paragraph" w:customStyle="1" w:styleId="Akapitzlist1">
    <w:name w:val="Akapit z listą1"/>
    <w:basedOn w:val="Normalny"/>
    <w:rsid w:val="00B90C41"/>
    <w:pPr>
      <w:suppressAutoHyphens/>
      <w:ind w:left="720"/>
    </w:pPr>
    <w:rPr>
      <w:rFonts w:ascii="Calibri" w:hAnsi="Calibri" w:cs="Mangal"/>
      <w:kern w:val="1"/>
      <w:sz w:val="22"/>
      <w:szCs w:val="22"/>
      <w:lang w:eastAsia="hi-IN" w:bidi="hi-IN"/>
    </w:rPr>
  </w:style>
  <w:style w:type="paragraph" w:customStyle="1" w:styleId="NormalnyWeb1">
    <w:name w:val="Normalny (Web)1"/>
    <w:basedOn w:val="Normalny"/>
    <w:rsid w:val="003410A8"/>
    <w:pPr>
      <w:suppressAutoHyphens/>
      <w:spacing w:before="100" w:after="100"/>
    </w:pPr>
    <w:rPr>
      <w:rFonts w:eastAsia="SimSun" w:cs="Mangal"/>
      <w:kern w:val="1"/>
      <w:lang w:eastAsia="hi-IN" w:bidi="hi-IN"/>
    </w:rPr>
  </w:style>
  <w:style w:type="paragraph" w:styleId="Poprawka">
    <w:name w:val="Revision"/>
    <w:hidden/>
    <w:uiPriority w:val="99"/>
    <w:semiHidden/>
    <w:rsid w:val="008B71B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9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98E"/>
  </w:style>
  <w:style w:type="character" w:styleId="Odwoanieprzypisukocowego">
    <w:name w:val="endnote reference"/>
    <w:basedOn w:val="Domylnaczcionkaakapitu"/>
    <w:uiPriority w:val="99"/>
    <w:semiHidden/>
    <w:unhideWhenUsed/>
    <w:rsid w:val="006A698E"/>
    <w:rPr>
      <w:vertAlign w:val="superscript"/>
    </w:rPr>
  </w:style>
  <w:style w:type="table" w:styleId="Tabela-Siatka">
    <w:name w:val="Table Grid"/>
    <w:basedOn w:val="Standardowy"/>
    <w:locked/>
    <w:rsid w:val="0013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Normalny"/>
    <w:rsid w:val="00BE07E4"/>
    <w:pPr>
      <w:suppressAutoHyphens/>
      <w:autoSpaceDN w:val="0"/>
      <w:ind w:left="360" w:hanging="360"/>
      <w:jc w:val="both"/>
    </w:pPr>
    <w:rPr>
      <w:kern w:val="3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193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DA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5B2C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</w:rPr>
  </w:style>
  <w:style w:type="paragraph" w:customStyle="1" w:styleId="ListParagraph1">
    <w:name w:val="List Paragraph1"/>
    <w:basedOn w:val="Normalny"/>
    <w:rsid w:val="004A13D9"/>
    <w:pPr>
      <w:suppressAutoHyphens/>
      <w:ind w:left="720"/>
    </w:pPr>
    <w:rPr>
      <w:rFonts w:ascii="Calibri" w:hAnsi="Calibri" w:cs="Calibri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consumers/od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klamacje@pz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AFA4-B28B-49EE-BA4E-DCF17D95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customNormal</Template>
  <TotalTime>0</TotalTime>
  <Pages>9</Pages>
  <Words>3210</Words>
  <Characters>19262</Characters>
  <Application>Microsoft Office Word</Application>
  <DocSecurity>4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II</vt:lpstr>
    </vt:vector>
  </TitlesOfParts>
  <Company>PZU SA</Company>
  <LinksUpToDate>false</LinksUpToDate>
  <CharactersWithSpaces>22428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</dc:title>
  <dc:subject/>
  <dc:creator>Domowy</dc:creator>
  <cp:keywords/>
  <dc:description/>
  <cp:lastModifiedBy>Wieczorek Jerzy (Centrala PZUSA)</cp:lastModifiedBy>
  <cp:revision>2</cp:revision>
  <cp:lastPrinted>2023-07-14T11:25:00Z</cp:lastPrinted>
  <dcterms:created xsi:type="dcterms:W3CDTF">2024-03-07T12:39:00Z</dcterms:created>
  <dcterms:modified xsi:type="dcterms:W3CDTF">2024-03-07T12:39:00Z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2023-06-30T09:44:01Z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1b04446b-99d9-4492-9548-87d3d459dd2f</vt:lpwstr>
  </property>
  <property fmtid="{D5CDD505-2E9C-101B-9397-08002B2CF9AE}" pid="8" name="MSIP_Label_ad6fd914-8286-453e-8cdd-01ba4c22f429_ContentBits">
    <vt:lpwstr>0</vt:lpwstr>
  </property>
</Properties>
</file>